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B660" w14:textId="711F2FFA" w:rsidR="00C61576" w:rsidRPr="00C61576" w:rsidRDefault="0016555C" w:rsidP="00C61576">
      <w:pPr>
        <w:pStyle w:val="Heading2"/>
        <w:pBdr>
          <w:bottom w:val="none" w:sz="0" w:space="0" w:color="auto"/>
        </w:pBdr>
        <w:rPr>
          <w:color w:val="00328C"/>
          <w:sz w:val="32"/>
          <w:szCs w:val="32"/>
        </w:rPr>
      </w:pPr>
      <w:bookmarkStart w:id="0" w:name="_Toc476563552"/>
      <w:r>
        <w:rPr>
          <w:color w:val="00328C"/>
          <w:sz w:val="32"/>
          <w:szCs w:val="32"/>
        </w:rPr>
        <w:t>6.3</w:t>
      </w:r>
      <w:r w:rsidR="00C61576">
        <w:rPr>
          <w:color w:val="00328C"/>
          <w:sz w:val="32"/>
          <w:szCs w:val="32"/>
        </w:rPr>
        <w:tab/>
      </w:r>
      <w:r w:rsidR="00C61576" w:rsidRPr="00C61576">
        <w:rPr>
          <w:color w:val="00328C"/>
          <w:sz w:val="32"/>
          <w:szCs w:val="32"/>
        </w:rPr>
        <w:t>Whistleblowing Policy &amp; Procedure</w:t>
      </w:r>
      <w:bookmarkEnd w:id="0"/>
      <w:r w:rsidR="00C61576" w:rsidRPr="00C61576">
        <w:rPr>
          <w:color w:val="00328C"/>
          <w:sz w:val="32"/>
          <w:szCs w:val="32"/>
        </w:rPr>
        <w:t xml:space="preserve"> </w:t>
      </w:r>
    </w:p>
    <w:p w14:paraId="3F327384" w14:textId="77777777" w:rsidR="00C61576" w:rsidRPr="00C61576" w:rsidRDefault="00C61576" w:rsidP="00C61576">
      <w:pPr>
        <w:spacing w:line="276" w:lineRule="auto"/>
        <w:rPr>
          <w:rFonts w:ascii="Arial" w:hAnsi="Arial" w:cs="Arial"/>
          <w:b/>
          <w:bCs/>
          <w:sz w:val="22"/>
          <w:szCs w:val="22"/>
          <w:lang w:val="en-US"/>
        </w:rPr>
      </w:pPr>
    </w:p>
    <w:p w14:paraId="0D866559" w14:textId="621378EF" w:rsidR="00C61576" w:rsidRPr="00C61576" w:rsidRDefault="0016555C" w:rsidP="00C61576">
      <w:pPr>
        <w:spacing w:line="276" w:lineRule="auto"/>
        <w:rPr>
          <w:rFonts w:ascii="Arial" w:hAnsi="Arial" w:cs="Arial"/>
          <w:b/>
          <w:bCs/>
          <w:color w:val="009337"/>
          <w:sz w:val="22"/>
          <w:szCs w:val="22"/>
          <w:lang w:val="en-US"/>
        </w:rPr>
      </w:pPr>
      <w:r>
        <w:rPr>
          <w:rFonts w:ascii="Arial" w:hAnsi="Arial" w:cs="Arial"/>
          <w:b/>
          <w:bCs/>
          <w:color w:val="009337"/>
          <w:sz w:val="22"/>
          <w:szCs w:val="22"/>
          <w:lang w:val="en-US"/>
        </w:rPr>
        <w:t>6.3</w:t>
      </w:r>
      <w:r w:rsidR="00C61576">
        <w:rPr>
          <w:rFonts w:ascii="Arial" w:hAnsi="Arial" w:cs="Arial"/>
          <w:b/>
          <w:bCs/>
          <w:color w:val="009337"/>
          <w:sz w:val="22"/>
          <w:szCs w:val="22"/>
          <w:lang w:val="en-US"/>
        </w:rPr>
        <w:t>.1</w:t>
      </w:r>
      <w:r w:rsidR="00C61576">
        <w:rPr>
          <w:rFonts w:ascii="Arial" w:hAnsi="Arial" w:cs="Arial"/>
          <w:b/>
          <w:bCs/>
          <w:color w:val="009337"/>
          <w:sz w:val="22"/>
          <w:szCs w:val="22"/>
          <w:lang w:val="en-US"/>
        </w:rPr>
        <w:tab/>
      </w:r>
      <w:r w:rsidR="00C61576" w:rsidRPr="00C61576">
        <w:rPr>
          <w:rFonts w:ascii="Arial" w:hAnsi="Arial" w:cs="Arial"/>
          <w:b/>
          <w:bCs/>
          <w:color w:val="009337"/>
          <w:sz w:val="22"/>
          <w:szCs w:val="22"/>
          <w:lang w:val="en-US"/>
        </w:rPr>
        <w:t>Policy</w:t>
      </w:r>
    </w:p>
    <w:p w14:paraId="77EACB5D" w14:textId="040DE9D9"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 xml:space="preserve">It is important to </w:t>
      </w:r>
      <w:r w:rsidR="00D45670">
        <w:rPr>
          <w:rFonts w:ascii="Arial" w:hAnsi="Arial" w:cs="Arial"/>
          <w:sz w:val="22"/>
          <w:szCs w:val="22"/>
        </w:rPr>
        <w:t>THE ORGANISATION</w:t>
      </w:r>
      <w:r w:rsidR="00D45670" w:rsidRPr="00BB750C">
        <w:rPr>
          <w:rFonts w:ascii="Arial" w:hAnsi="Arial" w:cs="Arial"/>
          <w:sz w:val="22"/>
          <w:szCs w:val="22"/>
        </w:rPr>
        <w:t xml:space="preserve"> </w:t>
      </w:r>
      <w:r w:rsidRPr="00D45679">
        <w:rPr>
          <w:rFonts w:ascii="Arial" w:hAnsi="Arial" w:cs="Arial"/>
          <w:sz w:val="22"/>
          <w:szCs w:val="22"/>
        </w:rPr>
        <w:t xml:space="preserve">that any fraud, misconduct or wrongdoing by staff or others working on behalf of </w:t>
      </w:r>
      <w:r w:rsidR="00D45670">
        <w:rPr>
          <w:rFonts w:ascii="Arial" w:hAnsi="Arial" w:cs="Arial"/>
          <w:sz w:val="22"/>
          <w:szCs w:val="22"/>
        </w:rPr>
        <w:t>THE ORGANISATION</w:t>
      </w:r>
      <w:r w:rsidRPr="00BB750C">
        <w:rPr>
          <w:rFonts w:ascii="Arial" w:hAnsi="Arial" w:cs="Arial"/>
          <w:sz w:val="22"/>
          <w:szCs w:val="22"/>
        </w:rPr>
        <w:t xml:space="preserve"> </w:t>
      </w:r>
      <w:r w:rsidRPr="00D45679">
        <w:rPr>
          <w:rFonts w:ascii="Arial" w:hAnsi="Arial" w:cs="Arial"/>
          <w:sz w:val="22"/>
          <w:szCs w:val="22"/>
        </w:rPr>
        <w:t xml:space="preserve">is reported and properly dealt with. </w:t>
      </w:r>
      <w:r w:rsidR="00D45670">
        <w:rPr>
          <w:rFonts w:ascii="Arial" w:hAnsi="Arial" w:cs="Arial"/>
          <w:sz w:val="22"/>
          <w:szCs w:val="22"/>
        </w:rPr>
        <w:t>THE ORGANISATION</w:t>
      </w:r>
      <w:r w:rsidRPr="00D45679">
        <w:rPr>
          <w:rFonts w:ascii="Arial" w:hAnsi="Arial" w:cs="Arial"/>
          <w:sz w:val="22"/>
          <w:szCs w:val="22"/>
        </w:rPr>
        <w:t xml:space="preserve"> therefore requires all individuals to raise any concerns that they may have about the conduct of others in the organisation or the way in which the organisation is run. </w:t>
      </w:r>
    </w:p>
    <w:p w14:paraId="0588AC4B" w14:textId="77777777" w:rsidR="00C61576" w:rsidRPr="00D45679" w:rsidRDefault="00C61576" w:rsidP="00C61576">
      <w:pPr>
        <w:spacing w:line="276" w:lineRule="auto"/>
        <w:jc w:val="both"/>
        <w:rPr>
          <w:rFonts w:ascii="Arial" w:hAnsi="Arial" w:cs="Arial"/>
          <w:sz w:val="22"/>
          <w:szCs w:val="22"/>
        </w:rPr>
      </w:pPr>
    </w:p>
    <w:p w14:paraId="67467650" w14:textId="77777777"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This policy sets out the way in which individuals may raise any concerns that they have and how those concerns will be dealt with.</w:t>
      </w:r>
      <w:bookmarkStart w:id="1" w:name="_GoBack"/>
      <w:bookmarkEnd w:id="1"/>
    </w:p>
    <w:p w14:paraId="1535B654" w14:textId="77777777" w:rsidR="00C61576" w:rsidRPr="00D45679" w:rsidRDefault="00C61576" w:rsidP="00C61576">
      <w:pPr>
        <w:spacing w:line="276" w:lineRule="auto"/>
        <w:jc w:val="both"/>
        <w:rPr>
          <w:rFonts w:ascii="Arial" w:hAnsi="Arial" w:cs="Arial"/>
          <w:b/>
          <w:sz w:val="22"/>
          <w:szCs w:val="22"/>
          <w:lang w:val="en-US"/>
        </w:rPr>
      </w:pPr>
    </w:p>
    <w:p w14:paraId="48A07122" w14:textId="169669D0" w:rsidR="00C61576" w:rsidRPr="00C61576" w:rsidRDefault="0016555C" w:rsidP="00C61576">
      <w:pPr>
        <w:spacing w:line="276" w:lineRule="auto"/>
        <w:jc w:val="both"/>
        <w:rPr>
          <w:rFonts w:ascii="Arial" w:hAnsi="Arial" w:cs="Arial"/>
          <w:b/>
          <w:color w:val="009337"/>
          <w:sz w:val="22"/>
          <w:szCs w:val="22"/>
          <w:lang w:val="en-US"/>
        </w:rPr>
      </w:pPr>
      <w:r>
        <w:rPr>
          <w:rFonts w:ascii="Arial" w:hAnsi="Arial" w:cs="Arial"/>
          <w:b/>
          <w:bCs/>
          <w:color w:val="009337"/>
          <w:sz w:val="22"/>
          <w:szCs w:val="22"/>
          <w:lang w:val="en-US"/>
        </w:rPr>
        <w:t>6.3</w:t>
      </w:r>
      <w:r w:rsidR="00C61576">
        <w:rPr>
          <w:rFonts w:ascii="Arial" w:hAnsi="Arial" w:cs="Arial"/>
          <w:b/>
          <w:color w:val="009337"/>
          <w:sz w:val="22"/>
          <w:szCs w:val="22"/>
          <w:lang w:val="en-US"/>
        </w:rPr>
        <w:t>.2</w:t>
      </w:r>
      <w:r w:rsidR="00C61576">
        <w:rPr>
          <w:rFonts w:ascii="Arial" w:hAnsi="Arial" w:cs="Arial"/>
          <w:b/>
          <w:color w:val="009337"/>
          <w:sz w:val="22"/>
          <w:szCs w:val="22"/>
          <w:lang w:val="en-US"/>
        </w:rPr>
        <w:tab/>
      </w:r>
      <w:r w:rsidR="00C61576" w:rsidRPr="00C61576">
        <w:rPr>
          <w:rFonts w:ascii="Arial" w:hAnsi="Arial" w:cs="Arial"/>
          <w:b/>
          <w:color w:val="009337"/>
          <w:sz w:val="22"/>
          <w:szCs w:val="22"/>
          <w:lang w:val="en-US"/>
        </w:rPr>
        <w:t>Background</w:t>
      </w:r>
    </w:p>
    <w:p w14:paraId="4E20FD2B" w14:textId="77777777"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 xml:space="preserve">The Public Interest Disclosure Act 1998 amended </w:t>
      </w:r>
      <w:r>
        <w:rPr>
          <w:rFonts w:ascii="Arial" w:hAnsi="Arial" w:cs="Arial"/>
          <w:sz w:val="22"/>
          <w:szCs w:val="22"/>
        </w:rPr>
        <w:t xml:space="preserve">by </w:t>
      </w:r>
      <w:r w:rsidRPr="00D45679">
        <w:rPr>
          <w:rFonts w:ascii="Arial" w:hAnsi="Arial" w:cs="Arial"/>
          <w:sz w:val="22"/>
          <w:szCs w:val="22"/>
        </w:rPr>
        <w:t xml:space="preserve">the Employment Rights Act 1996 to provide protection for workers who raise legitimate concerns about specified matters in the public interest. These are called "qualifying disclosures". A qualifying disclosure is one made by an employee who has a reasonable belief that </w:t>
      </w:r>
    </w:p>
    <w:p w14:paraId="629D2FF6" w14:textId="77777777" w:rsidR="00C61576" w:rsidRPr="00D45679" w:rsidRDefault="00C61576" w:rsidP="00C61576">
      <w:pPr>
        <w:spacing w:line="276" w:lineRule="auto"/>
        <w:jc w:val="both"/>
        <w:rPr>
          <w:rFonts w:ascii="Arial" w:hAnsi="Arial" w:cs="Arial"/>
          <w:sz w:val="22"/>
          <w:szCs w:val="22"/>
        </w:rPr>
      </w:pPr>
    </w:p>
    <w:p w14:paraId="4345EC4C"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A</w:t>
      </w:r>
      <w:r w:rsidRPr="00D45679">
        <w:rPr>
          <w:rFonts w:ascii="Arial" w:hAnsi="Arial" w:cs="Arial"/>
          <w:sz w:val="22"/>
          <w:szCs w:val="22"/>
        </w:rPr>
        <w:t xml:space="preserve"> criminal offence; </w:t>
      </w:r>
    </w:p>
    <w:p w14:paraId="6C870A15"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A</w:t>
      </w:r>
      <w:r w:rsidRPr="00D45679">
        <w:rPr>
          <w:rFonts w:ascii="Arial" w:hAnsi="Arial" w:cs="Arial"/>
          <w:sz w:val="22"/>
          <w:szCs w:val="22"/>
        </w:rPr>
        <w:t xml:space="preserve"> miscarriage of justice; </w:t>
      </w:r>
    </w:p>
    <w:p w14:paraId="139AA5BE"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A</w:t>
      </w:r>
      <w:r w:rsidRPr="00D45679">
        <w:rPr>
          <w:rFonts w:ascii="Arial" w:hAnsi="Arial" w:cs="Arial"/>
          <w:sz w:val="22"/>
          <w:szCs w:val="22"/>
        </w:rPr>
        <w:t xml:space="preserve">n act creating risk to health and safety; </w:t>
      </w:r>
    </w:p>
    <w:p w14:paraId="2ED522E5"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A</w:t>
      </w:r>
      <w:r w:rsidRPr="00D45679">
        <w:rPr>
          <w:rFonts w:ascii="Arial" w:hAnsi="Arial" w:cs="Arial"/>
          <w:sz w:val="22"/>
          <w:szCs w:val="22"/>
        </w:rPr>
        <w:t xml:space="preserve">n act causing damage to the environment; </w:t>
      </w:r>
    </w:p>
    <w:p w14:paraId="41A87FDC"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A</w:t>
      </w:r>
      <w:r w:rsidRPr="00D45679">
        <w:rPr>
          <w:rFonts w:ascii="Arial" w:hAnsi="Arial" w:cs="Arial"/>
          <w:sz w:val="22"/>
          <w:szCs w:val="22"/>
        </w:rPr>
        <w:t xml:space="preserve"> breach of any other legal obligation; or </w:t>
      </w:r>
    </w:p>
    <w:p w14:paraId="783DFE80" w14:textId="77777777" w:rsidR="00C61576" w:rsidRPr="00D45679" w:rsidRDefault="00C61576" w:rsidP="00C61576">
      <w:pPr>
        <w:numPr>
          <w:ilvl w:val="0"/>
          <w:numId w:val="2"/>
        </w:numPr>
        <w:spacing w:line="276" w:lineRule="auto"/>
        <w:ind w:left="567" w:hanging="567"/>
        <w:jc w:val="both"/>
        <w:rPr>
          <w:rFonts w:ascii="Arial" w:hAnsi="Arial" w:cs="Arial"/>
          <w:sz w:val="22"/>
          <w:szCs w:val="22"/>
        </w:rPr>
      </w:pPr>
      <w:r>
        <w:rPr>
          <w:rFonts w:ascii="Arial" w:hAnsi="Arial" w:cs="Arial"/>
          <w:sz w:val="22"/>
          <w:szCs w:val="22"/>
        </w:rPr>
        <w:t>C</w:t>
      </w:r>
      <w:r w:rsidRPr="00D45679">
        <w:rPr>
          <w:rFonts w:ascii="Arial" w:hAnsi="Arial" w:cs="Arial"/>
          <w:sz w:val="22"/>
          <w:szCs w:val="22"/>
        </w:rPr>
        <w:t>oncealment of any of the above;</w:t>
      </w:r>
    </w:p>
    <w:p w14:paraId="7D595DB2" w14:textId="77777777" w:rsidR="00C61576" w:rsidRPr="00D45679" w:rsidRDefault="00C61576" w:rsidP="00C61576">
      <w:pPr>
        <w:spacing w:line="276" w:lineRule="auto"/>
        <w:jc w:val="both"/>
        <w:rPr>
          <w:rFonts w:ascii="Arial" w:hAnsi="Arial" w:cs="Arial"/>
          <w:sz w:val="22"/>
          <w:szCs w:val="22"/>
        </w:rPr>
      </w:pPr>
    </w:p>
    <w:p w14:paraId="686C76C3" w14:textId="04840B39"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 xml:space="preserve">is being, has been, or is likely to be, committed. It is not necessary for the worker to have proof that such an act is being, has been, or is likely to be, committed - a reasonable belief is sufficient. The worker has no responsibility for investigating the matter - it is </w:t>
      </w:r>
      <w:r w:rsidR="00D45670">
        <w:rPr>
          <w:rFonts w:ascii="Arial" w:hAnsi="Arial" w:cs="Arial"/>
          <w:sz w:val="22"/>
          <w:szCs w:val="22"/>
        </w:rPr>
        <w:t>THE ORGANISATION</w:t>
      </w:r>
      <w:r w:rsidRPr="00653CE7">
        <w:rPr>
          <w:rFonts w:ascii="Arial" w:hAnsi="Arial" w:cs="Arial"/>
          <w:sz w:val="22"/>
          <w:szCs w:val="22"/>
        </w:rPr>
        <w:t>'s</w:t>
      </w:r>
      <w:r w:rsidRPr="00D45679">
        <w:rPr>
          <w:rFonts w:ascii="Arial" w:hAnsi="Arial" w:cs="Arial"/>
          <w:sz w:val="22"/>
          <w:szCs w:val="22"/>
        </w:rPr>
        <w:t xml:space="preserve"> responsibility to ensure that an investigation takes place.</w:t>
      </w:r>
    </w:p>
    <w:p w14:paraId="241515D8" w14:textId="77777777" w:rsidR="00C61576" w:rsidRPr="00D45679" w:rsidRDefault="00C61576" w:rsidP="00C61576">
      <w:pPr>
        <w:spacing w:line="276" w:lineRule="auto"/>
        <w:jc w:val="both"/>
        <w:rPr>
          <w:rFonts w:ascii="Arial" w:hAnsi="Arial" w:cs="Arial"/>
          <w:sz w:val="22"/>
          <w:szCs w:val="22"/>
        </w:rPr>
      </w:pPr>
    </w:p>
    <w:p w14:paraId="57F3D4BC" w14:textId="77777777"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A worker who makes such a protected disclosure has the right not to be dismi</w:t>
      </w:r>
      <w:r>
        <w:rPr>
          <w:rFonts w:ascii="Arial" w:hAnsi="Arial" w:cs="Arial"/>
          <w:sz w:val="22"/>
          <w:szCs w:val="22"/>
        </w:rPr>
        <w:t>sse</w:t>
      </w:r>
      <w:r w:rsidRPr="00D45679">
        <w:rPr>
          <w:rFonts w:ascii="Arial" w:hAnsi="Arial" w:cs="Arial"/>
          <w:sz w:val="22"/>
          <w:szCs w:val="22"/>
        </w:rPr>
        <w:t>d, subjected to any other detriment, or victimised, because he/she has made a disclosure.</w:t>
      </w:r>
    </w:p>
    <w:p w14:paraId="40352543" w14:textId="77777777" w:rsidR="00C61576" w:rsidRPr="00D45679" w:rsidRDefault="00C61576" w:rsidP="00C61576">
      <w:pPr>
        <w:spacing w:line="276" w:lineRule="auto"/>
        <w:jc w:val="both"/>
        <w:rPr>
          <w:rFonts w:ascii="Arial" w:hAnsi="Arial" w:cs="Arial"/>
          <w:sz w:val="22"/>
          <w:szCs w:val="22"/>
        </w:rPr>
      </w:pPr>
    </w:p>
    <w:p w14:paraId="51E34392" w14:textId="558EA876" w:rsidR="00C61576" w:rsidRPr="00D45679" w:rsidRDefault="00D45670" w:rsidP="00C61576">
      <w:pPr>
        <w:spacing w:line="276" w:lineRule="auto"/>
        <w:jc w:val="both"/>
        <w:rPr>
          <w:rFonts w:ascii="Arial" w:hAnsi="Arial" w:cs="Arial"/>
          <w:sz w:val="22"/>
          <w:szCs w:val="22"/>
        </w:rPr>
      </w:pPr>
      <w:r>
        <w:rPr>
          <w:rFonts w:ascii="Arial" w:hAnsi="Arial" w:cs="Arial"/>
          <w:sz w:val="22"/>
          <w:szCs w:val="22"/>
        </w:rPr>
        <w:t>THE ORGANISATION</w:t>
      </w:r>
      <w:r w:rsidR="00C61576" w:rsidRPr="00D45679">
        <w:rPr>
          <w:rFonts w:ascii="Arial" w:hAnsi="Arial" w:cs="Arial"/>
          <w:sz w:val="22"/>
          <w:szCs w:val="22"/>
        </w:rPr>
        <w:t xml:space="preserve"> encourages workers to raise their concerns under this procedure in the first instance. If you are not sure whether or not to raise a concern, you should discuss the issue with your line manager or the </w:t>
      </w:r>
      <w:r w:rsidR="00C61576">
        <w:rPr>
          <w:rFonts w:ascii="Arial" w:hAnsi="Arial" w:cs="Arial"/>
          <w:sz w:val="22"/>
          <w:szCs w:val="22"/>
        </w:rPr>
        <w:t>CEO or a Trustee</w:t>
      </w:r>
      <w:r w:rsidR="00C61576" w:rsidRPr="00D45679">
        <w:rPr>
          <w:rFonts w:ascii="Arial" w:hAnsi="Arial" w:cs="Arial"/>
          <w:sz w:val="22"/>
          <w:szCs w:val="22"/>
        </w:rPr>
        <w:t xml:space="preserve">. If you wish to raise a qualifying disclosure relating to the acts or omissions of the </w:t>
      </w:r>
      <w:r w:rsidR="00C61576" w:rsidRPr="00C61576">
        <w:rPr>
          <w:rFonts w:ascii="Arial" w:hAnsi="Arial" w:cs="Arial"/>
          <w:sz w:val="22"/>
          <w:szCs w:val="22"/>
        </w:rPr>
        <w:t>CEO</w:t>
      </w:r>
      <w:r w:rsidR="00C61576" w:rsidRPr="00D45679">
        <w:rPr>
          <w:rFonts w:ascii="Arial" w:hAnsi="Arial" w:cs="Arial"/>
          <w:sz w:val="22"/>
          <w:szCs w:val="22"/>
        </w:rPr>
        <w:t xml:space="preserve">, you should raise the matter with the </w:t>
      </w:r>
      <w:r w:rsidR="00C61576">
        <w:rPr>
          <w:rFonts w:ascii="Arial" w:hAnsi="Arial" w:cs="Arial"/>
          <w:sz w:val="22"/>
          <w:szCs w:val="22"/>
        </w:rPr>
        <w:t>Chair of Trustees</w:t>
      </w:r>
      <w:r w:rsidR="00C61576" w:rsidRPr="00D45679">
        <w:rPr>
          <w:rFonts w:ascii="Arial" w:hAnsi="Arial" w:cs="Arial"/>
          <w:sz w:val="22"/>
          <w:szCs w:val="22"/>
        </w:rPr>
        <w:t>.</w:t>
      </w:r>
    </w:p>
    <w:p w14:paraId="16A415C7" w14:textId="77777777" w:rsidR="00C61576" w:rsidRPr="00D45679" w:rsidRDefault="00C61576" w:rsidP="00C61576">
      <w:pPr>
        <w:spacing w:line="276" w:lineRule="auto"/>
        <w:jc w:val="both"/>
        <w:rPr>
          <w:rFonts w:ascii="Arial" w:hAnsi="Arial" w:cs="Arial"/>
          <w:sz w:val="22"/>
          <w:szCs w:val="22"/>
        </w:rPr>
      </w:pPr>
    </w:p>
    <w:p w14:paraId="2FE42FB0" w14:textId="1BB00591" w:rsidR="00C61576" w:rsidRPr="00C61576" w:rsidRDefault="0016555C" w:rsidP="00C61576">
      <w:pPr>
        <w:spacing w:line="276" w:lineRule="auto"/>
        <w:jc w:val="both"/>
        <w:rPr>
          <w:rFonts w:ascii="Arial" w:hAnsi="Arial" w:cs="Arial"/>
          <w:b/>
          <w:bCs/>
          <w:color w:val="009337"/>
          <w:sz w:val="22"/>
          <w:szCs w:val="22"/>
        </w:rPr>
      </w:pPr>
      <w:r>
        <w:rPr>
          <w:rFonts w:ascii="Arial" w:hAnsi="Arial" w:cs="Arial"/>
          <w:b/>
          <w:bCs/>
          <w:color w:val="009337"/>
          <w:sz w:val="22"/>
          <w:szCs w:val="22"/>
          <w:lang w:val="en-US"/>
        </w:rPr>
        <w:t>6.3</w:t>
      </w:r>
      <w:r w:rsidR="00C61576">
        <w:rPr>
          <w:rFonts w:ascii="Arial" w:hAnsi="Arial" w:cs="Arial"/>
          <w:b/>
          <w:bCs/>
          <w:color w:val="009337"/>
          <w:sz w:val="22"/>
          <w:szCs w:val="22"/>
        </w:rPr>
        <w:t>.3</w:t>
      </w:r>
      <w:r w:rsidR="00C61576">
        <w:rPr>
          <w:rFonts w:ascii="Arial" w:hAnsi="Arial" w:cs="Arial"/>
          <w:b/>
          <w:bCs/>
          <w:color w:val="009337"/>
          <w:sz w:val="22"/>
          <w:szCs w:val="22"/>
        </w:rPr>
        <w:tab/>
      </w:r>
      <w:r w:rsidR="00C61576" w:rsidRPr="00C61576">
        <w:rPr>
          <w:rFonts w:ascii="Arial" w:hAnsi="Arial" w:cs="Arial"/>
          <w:b/>
          <w:bCs/>
          <w:color w:val="009337"/>
          <w:sz w:val="22"/>
          <w:szCs w:val="22"/>
        </w:rPr>
        <w:t>Principles</w:t>
      </w:r>
    </w:p>
    <w:p w14:paraId="600635D9" w14:textId="77777777" w:rsidR="00C61576" w:rsidRPr="00D45679" w:rsidRDefault="00C61576" w:rsidP="00C61576">
      <w:pPr>
        <w:spacing w:line="276" w:lineRule="auto"/>
        <w:jc w:val="both"/>
        <w:rPr>
          <w:rFonts w:ascii="Arial" w:hAnsi="Arial" w:cs="Arial"/>
          <w:sz w:val="22"/>
          <w:szCs w:val="22"/>
        </w:rPr>
      </w:pPr>
    </w:p>
    <w:p w14:paraId="694CA789" w14:textId="55E09142"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 xml:space="preserve">Everyone should be aware of the importance of preventing and eliminating wrongdoing at work. Staff and others working on behalf of </w:t>
      </w:r>
      <w:r w:rsidR="00D45670">
        <w:rPr>
          <w:rFonts w:ascii="Arial" w:hAnsi="Arial" w:cs="Arial"/>
          <w:sz w:val="22"/>
          <w:szCs w:val="22"/>
        </w:rPr>
        <w:t>THE ORGANISATION</w:t>
      </w:r>
      <w:r w:rsidRPr="00D45679">
        <w:rPr>
          <w:rFonts w:ascii="Arial" w:hAnsi="Arial" w:cs="Arial"/>
          <w:sz w:val="22"/>
          <w:szCs w:val="22"/>
        </w:rPr>
        <w:t xml:space="preserve"> should be watchful for illegal or unethical conduct and report anything of that na</w:t>
      </w:r>
      <w:r>
        <w:rPr>
          <w:rFonts w:ascii="Arial" w:hAnsi="Arial" w:cs="Arial"/>
          <w:sz w:val="22"/>
          <w:szCs w:val="22"/>
        </w:rPr>
        <w:t>ture that they become aware of</w:t>
      </w:r>
    </w:p>
    <w:p w14:paraId="3CC42D94" w14:textId="77777777"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Any matter raised under this procedure will be investigated thoroughly, promptly and confidentially, and the outcome of the investigation reported back to t</w:t>
      </w:r>
      <w:r>
        <w:rPr>
          <w:rFonts w:ascii="Arial" w:hAnsi="Arial" w:cs="Arial"/>
          <w:sz w:val="22"/>
          <w:szCs w:val="22"/>
        </w:rPr>
        <w:t>he person who raised the issue</w:t>
      </w:r>
    </w:p>
    <w:p w14:paraId="4D155571" w14:textId="3D14A07B"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lastRenderedPageBreak/>
        <w:t xml:space="preserve">No employee or other person working on behalf of </w:t>
      </w:r>
      <w:r w:rsidR="00D45670">
        <w:rPr>
          <w:rFonts w:ascii="Arial" w:hAnsi="Arial" w:cs="Arial"/>
          <w:sz w:val="22"/>
          <w:szCs w:val="22"/>
        </w:rPr>
        <w:t>THE ORGANISATION</w:t>
      </w:r>
      <w:r w:rsidRPr="00D45679">
        <w:rPr>
          <w:rFonts w:ascii="Arial" w:hAnsi="Arial" w:cs="Arial"/>
          <w:sz w:val="22"/>
          <w:szCs w:val="22"/>
        </w:rPr>
        <w:t xml:space="preserve"> will be victimised for raising a matter under this procedure. This means that the continued employment and opportunities for future promotion or training of the worker will not be prejudiced because they have raised a leg</w:t>
      </w:r>
      <w:r>
        <w:rPr>
          <w:rFonts w:ascii="Arial" w:hAnsi="Arial" w:cs="Arial"/>
          <w:sz w:val="22"/>
          <w:szCs w:val="22"/>
        </w:rPr>
        <w:t>itimate concern</w:t>
      </w:r>
    </w:p>
    <w:p w14:paraId="467B9F40" w14:textId="77777777"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 xml:space="preserve">Victimisation of an individual for raising a qualified disclosure will be a disciplinary offence. </w:t>
      </w:r>
    </w:p>
    <w:p w14:paraId="0F9933DE" w14:textId="2A6883E1"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Pr>
          <w:rFonts w:ascii="Arial" w:hAnsi="Arial" w:cs="Arial"/>
          <w:sz w:val="22"/>
          <w:szCs w:val="22"/>
        </w:rPr>
        <w:t>If</w:t>
      </w:r>
      <w:r w:rsidRPr="00D45679">
        <w:rPr>
          <w:rFonts w:ascii="Arial" w:hAnsi="Arial" w:cs="Arial"/>
          <w:sz w:val="22"/>
          <w:szCs w:val="22"/>
        </w:rPr>
        <w:t xml:space="preserve"> misconduct is discovered as a result of any investigation under this procedure </w:t>
      </w:r>
      <w:r w:rsidR="00D45670">
        <w:rPr>
          <w:rFonts w:ascii="Arial" w:hAnsi="Arial" w:cs="Arial"/>
          <w:sz w:val="22"/>
          <w:szCs w:val="22"/>
        </w:rPr>
        <w:t>THE ORGANISATION</w:t>
      </w:r>
      <w:r w:rsidRPr="00653CE7">
        <w:rPr>
          <w:rFonts w:ascii="Arial" w:hAnsi="Arial" w:cs="Arial"/>
          <w:sz w:val="22"/>
          <w:szCs w:val="22"/>
        </w:rPr>
        <w:t>'s</w:t>
      </w:r>
      <w:r w:rsidRPr="00D45679">
        <w:rPr>
          <w:rFonts w:ascii="Arial" w:hAnsi="Arial" w:cs="Arial"/>
          <w:sz w:val="22"/>
          <w:szCs w:val="22"/>
        </w:rPr>
        <w:t xml:space="preserve"> disciplinary procedure will be used, in addition to any</w:t>
      </w:r>
      <w:r>
        <w:rPr>
          <w:rFonts w:ascii="Arial" w:hAnsi="Arial" w:cs="Arial"/>
          <w:sz w:val="22"/>
          <w:szCs w:val="22"/>
        </w:rPr>
        <w:t xml:space="preserve"> appropriate external measures</w:t>
      </w:r>
    </w:p>
    <w:p w14:paraId="0367886B" w14:textId="77777777"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Maliciously making a false allega</w:t>
      </w:r>
      <w:r>
        <w:rPr>
          <w:rFonts w:ascii="Arial" w:hAnsi="Arial" w:cs="Arial"/>
          <w:sz w:val="22"/>
          <w:szCs w:val="22"/>
        </w:rPr>
        <w:t>tion is a disciplinary offence</w:t>
      </w:r>
    </w:p>
    <w:p w14:paraId="35E93043" w14:textId="77777777" w:rsidR="00C61576" w:rsidRPr="00D45679" w:rsidRDefault="00C61576" w:rsidP="00C61576">
      <w:pPr>
        <w:numPr>
          <w:ilvl w:val="0"/>
          <w:numId w:val="1"/>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 xml:space="preserve">An instruction to cover up wrongdoing is itself a disciplinary offence. If told not to raise or pursue any concern, even by a person in authority such as a manager, </w:t>
      </w:r>
      <w:r>
        <w:rPr>
          <w:rFonts w:ascii="Arial" w:hAnsi="Arial" w:cs="Arial"/>
          <w:sz w:val="22"/>
          <w:szCs w:val="22"/>
        </w:rPr>
        <w:t>you</w:t>
      </w:r>
      <w:r w:rsidRPr="00D45679">
        <w:rPr>
          <w:rFonts w:ascii="Arial" w:hAnsi="Arial" w:cs="Arial"/>
          <w:sz w:val="22"/>
          <w:szCs w:val="22"/>
        </w:rPr>
        <w:t xml:space="preserve"> should not agree to remain silent. </w:t>
      </w:r>
      <w:r>
        <w:rPr>
          <w:rFonts w:ascii="Arial" w:hAnsi="Arial" w:cs="Arial"/>
          <w:sz w:val="22"/>
          <w:szCs w:val="22"/>
        </w:rPr>
        <w:t>You</w:t>
      </w:r>
      <w:r w:rsidRPr="00D45679">
        <w:rPr>
          <w:rFonts w:ascii="Arial" w:hAnsi="Arial" w:cs="Arial"/>
          <w:sz w:val="22"/>
          <w:szCs w:val="22"/>
        </w:rPr>
        <w:t xml:space="preserve"> should </w:t>
      </w:r>
      <w:r>
        <w:rPr>
          <w:rFonts w:ascii="Arial" w:hAnsi="Arial" w:cs="Arial"/>
          <w:sz w:val="22"/>
          <w:szCs w:val="22"/>
        </w:rPr>
        <w:t>report the matter to the CEO.</w:t>
      </w:r>
    </w:p>
    <w:p w14:paraId="4DED4771" w14:textId="77777777" w:rsidR="00C61576" w:rsidRPr="00D45679" w:rsidRDefault="00C61576" w:rsidP="00C61576">
      <w:pPr>
        <w:spacing w:line="276" w:lineRule="auto"/>
        <w:jc w:val="both"/>
        <w:rPr>
          <w:rFonts w:ascii="Arial" w:hAnsi="Arial" w:cs="Arial"/>
          <w:b/>
          <w:bCs/>
          <w:sz w:val="22"/>
          <w:szCs w:val="22"/>
        </w:rPr>
      </w:pPr>
    </w:p>
    <w:p w14:paraId="22DA905F" w14:textId="7FF87F63" w:rsidR="00C61576" w:rsidRPr="00C61576" w:rsidRDefault="0016555C" w:rsidP="00C61576">
      <w:pPr>
        <w:spacing w:line="276" w:lineRule="auto"/>
        <w:jc w:val="both"/>
        <w:rPr>
          <w:rFonts w:ascii="Arial" w:hAnsi="Arial" w:cs="Arial"/>
          <w:b/>
          <w:bCs/>
          <w:color w:val="009337"/>
          <w:sz w:val="22"/>
          <w:szCs w:val="22"/>
        </w:rPr>
      </w:pPr>
      <w:r>
        <w:rPr>
          <w:rFonts w:ascii="Arial" w:hAnsi="Arial" w:cs="Arial"/>
          <w:b/>
          <w:bCs/>
          <w:color w:val="009337"/>
          <w:sz w:val="22"/>
          <w:szCs w:val="22"/>
          <w:lang w:val="en-US"/>
        </w:rPr>
        <w:t>6.3</w:t>
      </w:r>
      <w:r w:rsidR="00C61576">
        <w:rPr>
          <w:rFonts w:ascii="Arial" w:hAnsi="Arial" w:cs="Arial"/>
          <w:b/>
          <w:bCs/>
          <w:color w:val="009337"/>
          <w:sz w:val="22"/>
          <w:szCs w:val="22"/>
        </w:rPr>
        <w:t>.4</w:t>
      </w:r>
      <w:r w:rsidR="00C61576">
        <w:rPr>
          <w:rFonts w:ascii="Arial" w:hAnsi="Arial" w:cs="Arial"/>
          <w:b/>
          <w:bCs/>
          <w:color w:val="009337"/>
          <w:sz w:val="22"/>
          <w:szCs w:val="22"/>
        </w:rPr>
        <w:tab/>
      </w:r>
      <w:r w:rsidR="00C61576" w:rsidRPr="00C61576">
        <w:rPr>
          <w:rFonts w:ascii="Arial" w:hAnsi="Arial" w:cs="Arial"/>
          <w:b/>
          <w:bCs/>
          <w:color w:val="009337"/>
          <w:sz w:val="22"/>
          <w:szCs w:val="22"/>
        </w:rPr>
        <w:t>Procedure</w:t>
      </w:r>
    </w:p>
    <w:p w14:paraId="35E14994" w14:textId="124056A5"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 xml:space="preserve">This procedure is for disclosures about matters other than a breach of an employee's own contract of employment. If you are concerned that your own contract has been, or is likely to be, broken, you should use </w:t>
      </w:r>
      <w:r w:rsidR="00D45670">
        <w:rPr>
          <w:rFonts w:ascii="Arial" w:hAnsi="Arial" w:cs="Arial"/>
          <w:sz w:val="22"/>
          <w:szCs w:val="22"/>
        </w:rPr>
        <w:t>THE ORGANISATION</w:t>
      </w:r>
      <w:r w:rsidRPr="00653CE7">
        <w:rPr>
          <w:rFonts w:ascii="Arial" w:hAnsi="Arial" w:cs="Arial"/>
          <w:sz w:val="22"/>
          <w:szCs w:val="22"/>
        </w:rPr>
        <w:t>'s Grievance</w:t>
      </w:r>
      <w:r w:rsidRPr="00D45679">
        <w:rPr>
          <w:rFonts w:ascii="Arial" w:hAnsi="Arial" w:cs="Arial"/>
          <w:sz w:val="22"/>
          <w:szCs w:val="22"/>
        </w:rPr>
        <w:t xml:space="preserve"> Procedure.</w:t>
      </w:r>
    </w:p>
    <w:p w14:paraId="1ED08E08" w14:textId="77777777" w:rsidR="00C61576" w:rsidRPr="00D45679" w:rsidRDefault="00C61576" w:rsidP="00C61576">
      <w:pPr>
        <w:spacing w:line="276" w:lineRule="auto"/>
        <w:jc w:val="both"/>
        <w:rPr>
          <w:rFonts w:ascii="Arial" w:hAnsi="Arial" w:cs="Arial"/>
          <w:sz w:val="22"/>
          <w:szCs w:val="22"/>
        </w:rPr>
      </w:pPr>
    </w:p>
    <w:p w14:paraId="41E58586"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t>Stage 1</w:t>
      </w:r>
    </w:p>
    <w:p w14:paraId="1D403D80" w14:textId="2D054100" w:rsidR="00C61576" w:rsidRPr="00D45679" w:rsidRDefault="002C0278" w:rsidP="00C61576">
      <w:pPr>
        <w:spacing w:line="276" w:lineRule="auto"/>
        <w:jc w:val="both"/>
        <w:rPr>
          <w:rFonts w:ascii="Arial" w:hAnsi="Arial" w:cs="Arial"/>
          <w:sz w:val="22"/>
          <w:szCs w:val="22"/>
        </w:rPr>
      </w:pPr>
      <w:r>
        <w:rPr>
          <w:rFonts w:ascii="Arial" w:hAnsi="Arial" w:cs="Arial"/>
          <w:sz w:val="22"/>
          <w:szCs w:val="22"/>
        </w:rPr>
        <w:t>A</w:t>
      </w:r>
      <w:r w:rsidR="00C61576" w:rsidRPr="00D45679">
        <w:rPr>
          <w:rFonts w:ascii="Arial" w:hAnsi="Arial" w:cs="Arial"/>
          <w:sz w:val="22"/>
          <w:szCs w:val="22"/>
        </w:rPr>
        <w:t xml:space="preserve">ny concerns should be raised with </w:t>
      </w:r>
      <w:r>
        <w:rPr>
          <w:rFonts w:ascii="Arial" w:hAnsi="Arial" w:cs="Arial"/>
          <w:sz w:val="22"/>
          <w:szCs w:val="22"/>
        </w:rPr>
        <w:t>the CEO or Service Director</w:t>
      </w:r>
      <w:r w:rsidR="00C61576" w:rsidRPr="00D45679">
        <w:rPr>
          <w:rFonts w:ascii="Arial" w:hAnsi="Arial" w:cs="Arial"/>
          <w:sz w:val="22"/>
          <w:szCs w:val="22"/>
        </w:rPr>
        <w:t xml:space="preserve">. If you believe your </w:t>
      </w:r>
      <w:r>
        <w:rPr>
          <w:rFonts w:ascii="Arial" w:hAnsi="Arial" w:cs="Arial"/>
          <w:sz w:val="22"/>
          <w:szCs w:val="22"/>
        </w:rPr>
        <w:t>CEO or Service Director</w:t>
      </w:r>
      <w:r w:rsidR="00C61576" w:rsidRPr="00D45679">
        <w:rPr>
          <w:rFonts w:ascii="Arial" w:hAnsi="Arial" w:cs="Arial"/>
          <w:sz w:val="22"/>
          <w:szCs w:val="22"/>
        </w:rPr>
        <w:t xml:space="preserve"> to be involved, or for any reason do not wish to approach your </w:t>
      </w:r>
      <w:r>
        <w:rPr>
          <w:rFonts w:ascii="Arial" w:hAnsi="Arial" w:cs="Arial"/>
          <w:sz w:val="22"/>
          <w:szCs w:val="22"/>
        </w:rPr>
        <w:t>CEO</w:t>
      </w:r>
      <w:r w:rsidR="00C61576" w:rsidRPr="00D45679">
        <w:rPr>
          <w:rFonts w:ascii="Arial" w:hAnsi="Arial" w:cs="Arial"/>
          <w:sz w:val="22"/>
          <w:szCs w:val="22"/>
        </w:rPr>
        <w:t>, then you should proceed straight to stage 3.</w:t>
      </w:r>
    </w:p>
    <w:p w14:paraId="4484067B" w14:textId="77777777" w:rsidR="00C61576" w:rsidRPr="00D45679" w:rsidRDefault="00C61576" w:rsidP="00C61576">
      <w:pPr>
        <w:spacing w:line="276" w:lineRule="auto"/>
        <w:jc w:val="both"/>
        <w:rPr>
          <w:rFonts w:ascii="Arial" w:hAnsi="Arial" w:cs="Arial"/>
          <w:sz w:val="22"/>
          <w:szCs w:val="22"/>
        </w:rPr>
      </w:pPr>
    </w:p>
    <w:p w14:paraId="17F97241"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t>Stage 2</w:t>
      </w:r>
    </w:p>
    <w:p w14:paraId="57A0EBB9" w14:textId="66AD2EAA" w:rsidR="00C61576" w:rsidRPr="00D45679" w:rsidRDefault="002C0278" w:rsidP="00C61576">
      <w:pPr>
        <w:spacing w:line="276" w:lineRule="auto"/>
        <w:jc w:val="both"/>
        <w:rPr>
          <w:rFonts w:ascii="Arial" w:hAnsi="Arial" w:cs="Arial"/>
          <w:sz w:val="22"/>
          <w:szCs w:val="22"/>
        </w:rPr>
      </w:pPr>
      <w:r>
        <w:rPr>
          <w:rFonts w:ascii="Arial" w:hAnsi="Arial" w:cs="Arial"/>
          <w:sz w:val="22"/>
          <w:szCs w:val="22"/>
        </w:rPr>
        <w:t>The CEO</w:t>
      </w:r>
      <w:r w:rsidR="00C61576" w:rsidRPr="00D45679">
        <w:rPr>
          <w:rFonts w:ascii="Arial" w:hAnsi="Arial" w:cs="Arial"/>
          <w:sz w:val="22"/>
          <w:szCs w:val="22"/>
        </w:rPr>
        <w:t xml:space="preserve"> will arrange an investigation of the matter (either by investigating the matter themselves or immediately passing the issue to someone in a more senior position). The investigation may involve you and other individuals involved giving a written statement. Any investigation will be carried out in accordance with the principles set out above. Your statement will be taken into account, and you will be asked to comment on any additional evidence obtained. Your </w:t>
      </w:r>
      <w:r>
        <w:rPr>
          <w:rFonts w:ascii="Arial" w:hAnsi="Arial" w:cs="Arial"/>
          <w:sz w:val="22"/>
          <w:szCs w:val="22"/>
        </w:rPr>
        <w:t>CEO</w:t>
      </w:r>
      <w:r w:rsidR="00C61576" w:rsidRPr="00D45679">
        <w:rPr>
          <w:rFonts w:ascii="Arial" w:hAnsi="Arial" w:cs="Arial"/>
          <w:sz w:val="22"/>
          <w:szCs w:val="22"/>
        </w:rPr>
        <w:t xml:space="preserve"> (or the person who carried out the investigation) will then report to the </w:t>
      </w:r>
      <w:r>
        <w:rPr>
          <w:rFonts w:ascii="Arial" w:hAnsi="Arial" w:cs="Arial"/>
          <w:sz w:val="22"/>
          <w:szCs w:val="22"/>
        </w:rPr>
        <w:t>Board of Trustees</w:t>
      </w:r>
      <w:r w:rsidR="00C61576" w:rsidRPr="00D45679">
        <w:rPr>
          <w:rFonts w:ascii="Arial" w:hAnsi="Arial" w:cs="Arial"/>
          <w:sz w:val="22"/>
          <w:szCs w:val="22"/>
        </w:rPr>
        <w:t xml:space="preserve"> who will take any necessary action, including reporting the matter to any appropriate government department or regulatory agency. If disciplinary action is required, your line manager (or the person who carried out the investigation) will report the matter to the HR Advisers – for advice - and start the disciplinary procedure. On conclusion of any investigation, you will be told the outcome of the investigation and what the organisation has done, or proposes to do, about it. If no action is to be taken, the reason for this will be explained.</w:t>
      </w:r>
    </w:p>
    <w:p w14:paraId="537FF651" w14:textId="77777777" w:rsidR="00C61576" w:rsidRPr="00D45679" w:rsidRDefault="00C61576" w:rsidP="00C61576">
      <w:pPr>
        <w:spacing w:line="276" w:lineRule="auto"/>
        <w:jc w:val="both"/>
        <w:rPr>
          <w:rFonts w:ascii="Arial" w:hAnsi="Arial" w:cs="Arial"/>
          <w:sz w:val="22"/>
          <w:szCs w:val="22"/>
        </w:rPr>
      </w:pPr>
    </w:p>
    <w:p w14:paraId="6F1960A8"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t>Stage 3</w:t>
      </w:r>
    </w:p>
    <w:p w14:paraId="3B9E0810" w14:textId="39FD2741" w:rsidR="00C61576" w:rsidRPr="00D45679" w:rsidRDefault="00C61576" w:rsidP="00C61576">
      <w:pPr>
        <w:spacing w:line="276" w:lineRule="auto"/>
        <w:jc w:val="both"/>
        <w:rPr>
          <w:rFonts w:ascii="Arial" w:hAnsi="Arial" w:cs="Arial"/>
          <w:sz w:val="22"/>
          <w:szCs w:val="22"/>
        </w:rPr>
      </w:pPr>
      <w:r w:rsidRPr="00D45679">
        <w:rPr>
          <w:rFonts w:ascii="Arial" w:hAnsi="Arial" w:cs="Arial"/>
          <w:sz w:val="22"/>
          <w:szCs w:val="22"/>
        </w:rPr>
        <w:t xml:space="preserve">If you are concerned that your </w:t>
      </w:r>
      <w:r w:rsidR="002C0278">
        <w:rPr>
          <w:rFonts w:ascii="Arial" w:hAnsi="Arial" w:cs="Arial"/>
          <w:sz w:val="22"/>
          <w:szCs w:val="22"/>
        </w:rPr>
        <w:t>CEO or Service Director</w:t>
      </w:r>
      <w:r w:rsidRPr="00D45679">
        <w:rPr>
          <w:rFonts w:ascii="Arial" w:hAnsi="Arial" w:cs="Arial"/>
          <w:sz w:val="22"/>
          <w:szCs w:val="22"/>
        </w:rPr>
        <w:t xml:space="preserve"> is involved in the wrongdoing, has failed to make a proper investigation or has failed to report the outcome of the investigations to the relevant person, you should escalate the matter to the appropriate person as set out in the Escalation Table at the end of this document. This person will arrange for a review of the investigation to be carried out, make any necessary enquiries and make their own report to the next person in the Escalation Table. Any approach to the more senior person will be treated with the strictest confidence and your identity will not be disclosed without your prior consent.</w:t>
      </w:r>
    </w:p>
    <w:p w14:paraId="38A8318B" w14:textId="77777777" w:rsidR="00C61576" w:rsidRPr="00D45679" w:rsidRDefault="00C61576" w:rsidP="00C61576">
      <w:pPr>
        <w:spacing w:line="276" w:lineRule="auto"/>
        <w:jc w:val="both"/>
        <w:rPr>
          <w:rFonts w:ascii="Arial" w:hAnsi="Arial" w:cs="Arial"/>
          <w:sz w:val="22"/>
          <w:szCs w:val="22"/>
        </w:rPr>
      </w:pPr>
    </w:p>
    <w:p w14:paraId="27817245"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lastRenderedPageBreak/>
        <w:t>Stage 4</w:t>
      </w:r>
    </w:p>
    <w:p w14:paraId="4CBF7CA3" w14:textId="77777777" w:rsidR="00517E58" w:rsidRDefault="00C61576" w:rsidP="00C61576">
      <w:pPr>
        <w:spacing w:line="276" w:lineRule="auto"/>
        <w:jc w:val="both"/>
        <w:rPr>
          <w:rFonts w:ascii="Arial" w:hAnsi="Arial" w:cs="Arial"/>
          <w:sz w:val="22"/>
          <w:szCs w:val="22"/>
        </w:rPr>
      </w:pPr>
      <w:r w:rsidRPr="00D45679">
        <w:rPr>
          <w:rFonts w:ascii="Arial" w:hAnsi="Arial" w:cs="Arial"/>
          <w:sz w:val="22"/>
          <w:szCs w:val="22"/>
        </w:rPr>
        <w:t>If on conclusion of stages 1, 2 and 3 you reasonably believe that the appropriate action has not been taken, you should report the matter to the proper authority. The legislation sets out a number of bodies to which qualifying disclosures may be made. These include</w:t>
      </w:r>
    </w:p>
    <w:p w14:paraId="24449A8E" w14:textId="77777777" w:rsidR="00517E58" w:rsidRDefault="00517E58" w:rsidP="00C61576">
      <w:pPr>
        <w:spacing w:line="276" w:lineRule="auto"/>
        <w:jc w:val="both"/>
        <w:rPr>
          <w:rFonts w:ascii="Arial" w:hAnsi="Arial" w:cs="Arial"/>
          <w:sz w:val="22"/>
          <w:szCs w:val="22"/>
        </w:rPr>
      </w:pPr>
    </w:p>
    <w:p w14:paraId="52B1E4B1" w14:textId="71B1BF23" w:rsidR="002C0278" w:rsidRDefault="002C0278" w:rsidP="00C61576">
      <w:pPr>
        <w:numPr>
          <w:ilvl w:val="0"/>
          <w:numId w:val="3"/>
        </w:numPr>
        <w:tabs>
          <w:tab w:val="clear" w:pos="720"/>
          <w:tab w:val="num" w:pos="567"/>
        </w:tabs>
        <w:spacing w:line="276" w:lineRule="auto"/>
        <w:ind w:left="567" w:hanging="567"/>
        <w:jc w:val="both"/>
        <w:rPr>
          <w:rFonts w:ascii="Arial" w:hAnsi="Arial" w:cs="Arial"/>
          <w:sz w:val="22"/>
          <w:szCs w:val="22"/>
        </w:rPr>
      </w:pPr>
      <w:r>
        <w:rPr>
          <w:rFonts w:ascii="Arial" w:hAnsi="Arial" w:cs="Arial"/>
          <w:sz w:val="22"/>
          <w:szCs w:val="22"/>
        </w:rPr>
        <w:t>MET police</w:t>
      </w:r>
    </w:p>
    <w:p w14:paraId="64DFEBBE" w14:textId="3FD7BE72" w:rsidR="00C61576" w:rsidRPr="00D45679"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 xml:space="preserve">HM Revenue &amp; Customs; </w:t>
      </w:r>
    </w:p>
    <w:p w14:paraId="78ECABF0" w14:textId="77777777" w:rsidR="00C61576" w:rsidRPr="00D45679"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 xml:space="preserve">the Health and Safety Executive; </w:t>
      </w:r>
    </w:p>
    <w:p w14:paraId="0338F9B7" w14:textId="77777777" w:rsidR="00C61576"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sidRPr="00D45679">
        <w:rPr>
          <w:rFonts w:ascii="Arial" w:hAnsi="Arial" w:cs="Arial"/>
          <w:sz w:val="22"/>
          <w:szCs w:val="22"/>
        </w:rPr>
        <w:t>the Serious Fraud Office</w:t>
      </w:r>
      <w:r>
        <w:rPr>
          <w:rFonts w:ascii="Arial" w:hAnsi="Arial" w:cs="Arial"/>
          <w:sz w:val="22"/>
          <w:szCs w:val="22"/>
        </w:rPr>
        <w:t>;</w:t>
      </w:r>
    </w:p>
    <w:p w14:paraId="3BD091BC" w14:textId="77777777" w:rsidR="00C61576"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Pr>
          <w:rFonts w:ascii="Arial" w:hAnsi="Arial" w:cs="Arial"/>
          <w:sz w:val="22"/>
          <w:szCs w:val="22"/>
        </w:rPr>
        <w:t>the Charity Commission</w:t>
      </w:r>
    </w:p>
    <w:p w14:paraId="0E843117" w14:textId="77777777" w:rsidR="00C61576" w:rsidRPr="00963F7C"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Pr>
          <w:rFonts w:ascii="Arial" w:hAnsi="Arial" w:cs="Arial"/>
          <w:sz w:val="22"/>
          <w:szCs w:val="22"/>
        </w:rPr>
        <w:t>t</w:t>
      </w:r>
      <w:r w:rsidRPr="00963F7C">
        <w:rPr>
          <w:rFonts w:ascii="Arial" w:hAnsi="Arial" w:cs="Arial"/>
          <w:sz w:val="22"/>
          <w:szCs w:val="22"/>
        </w:rPr>
        <w:t>he Pensions Regulator;</w:t>
      </w:r>
    </w:p>
    <w:p w14:paraId="005C009F" w14:textId="77777777" w:rsidR="00C61576" w:rsidRPr="002E2821" w:rsidRDefault="00C61576" w:rsidP="00C61576">
      <w:pPr>
        <w:numPr>
          <w:ilvl w:val="0"/>
          <w:numId w:val="3"/>
        </w:numPr>
        <w:tabs>
          <w:tab w:val="clear" w:pos="720"/>
          <w:tab w:val="num" w:pos="567"/>
        </w:tabs>
        <w:spacing w:line="276" w:lineRule="auto"/>
        <w:ind w:left="567" w:hanging="567"/>
        <w:jc w:val="both"/>
        <w:rPr>
          <w:rFonts w:ascii="Arial" w:hAnsi="Arial" w:cs="Arial"/>
          <w:sz w:val="22"/>
          <w:szCs w:val="22"/>
        </w:rPr>
      </w:pPr>
      <w:r>
        <w:rPr>
          <w:rFonts w:ascii="Arial" w:hAnsi="Arial" w:cs="Arial"/>
          <w:sz w:val="22"/>
          <w:szCs w:val="22"/>
        </w:rPr>
        <w:t>the Information Commissioner.</w:t>
      </w:r>
    </w:p>
    <w:p w14:paraId="64908F41" w14:textId="77777777" w:rsidR="00C61576" w:rsidRDefault="00C61576" w:rsidP="00C61576">
      <w:pPr>
        <w:spacing w:line="276" w:lineRule="auto"/>
        <w:jc w:val="both"/>
        <w:rPr>
          <w:rFonts w:ascii="Arial" w:hAnsi="Arial" w:cs="Arial"/>
          <w:sz w:val="22"/>
          <w:szCs w:val="22"/>
        </w:rPr>
      </w:pPr>
    </w:p>
    <w:p w14:paraId="18D49300" w14:textId="77777777" w:rsidR="00C61576" w:rsidRDefault="00C61576" w:rsidP="00C61576">
      <w:pPr>
        <w:spacing w:line="276" w:lineRule="auto"/>
        <w:jc w:val="both"/>
        <w:rPr>
          <w:rFonts w:ascii="Arial" w:hAnsi="Arial" w:cs="Arial"/>
          <w:color w:val="000000"/>
          <w:kern w:val="36"/>
          <w:sz w:val="22"/>
          <w:szCs w:val="22"/>
        </w:rPr>
      </w:pPr>
      <w:r>
        <w:rPr>
          <w:rFonts w:ascii="Arial" w:hAnsi="Arial" w:cs="Arial"/>
          <w:sz w:val="22"/>
          <w:szCs w:val="22"/>
        </w:rPr>
        <w:t xml:space="preserve">You can find the full </w:t>
      </w:r>
      <w:r w:rsidRPr="00940B63">
        <w:rPr>
          <w:rFonts w:ascii="Arial" w:hAnsi="Arial" w:cs="Arial"/>
          <w:sz w:val="22"/>
          <w:szCs w:val="22"/>
        </w:rPr>
        <w:t xml:space="preserve">list in </w:t>
      </w:r>
      <w:r w:rsidRPr="00940B63">
        <w:rPr>
          <w:rFonts w:ascii="Arial" w:hAnsi="Arial" w:cs="Arial"/>
          <w:color w:val="000000"/>
          <w:kern w:val="36"/>
          <w:sz w:val="22"/>
          <w:szCs w:val="22"/>
        </w:rPr>
        <w:t>The Public Interest Disclosure (Prescribed Persons) Order 2014</w:t>
      </w:r>
    </w:p>
    <w:p w14:paraId="2E181575" w14:textId="77777777" w:rsidR="00C61576" w:rsidRDefault="00C61576" w:rsidP="00C61576">
      <w:pPr>
        <w:spacing w:line="276" w:lineRule="auto"/>
        <w:jc w:val="both"/>
      </w:pPr>
    </w:p>
    <w:p w14:paraId="6CFBF4A8" w14:textId="77777777" w:rsidR="00C61576" w:rsidRPr="002B3B7B" w:rsidRDefault="00D45670" w:rsidP="00C61576">
      <w:pPr>
        <w:spacing w:line="276" w:lineRule="auto"/>
        <w:jc w:val="both"/>
        <w:rPr>
          <w:rFonts w:ascii="Arial" w:hAnsi="Arial" w:cs="Arial"/>
          <w:sz w:val="22"/>
          <w:szCs w:val="22"/>
        </w:rPr>
      </w:pPr>
      <w:hyperlink r:id="rId5" w:history="1">
        <w:r w:rsidR="00C61576" w:rsidRPr="002B3B7B">
          <w:rPr>
            <w:rStyle w:val="Hyperlink"/>
            <w:rFonts w:ascii="Arial" w:hAnsi="Arial" w:cs="Arial"/>
            <w:sz w:val="22"/>
            <w:szCs w:val="22"/>
          </w:rPr>
          <w:t>https://www.gov.uk/government/publications/blowing-the-whistle-list-of-prescribed-people-and-bodies--2/whistleblowing-list-of-prescribed-people-and-bodies</w:t>
        </w:r>
      </w:hyperlink>
    </w:p>
    <w:p w14:paraId="18E5B1FE" w14:textId="77777777" w:rsidR="00C61576" w:rsidRPr="00D45679" w:rsidRDefault="00C61576" w:rsidP="00C61576">
      <w:pPr>
        <w:spacing w:line="276" w:lineRule="auto"/>
        <w:jc w:val="both"/>
        <w:rPr>
          <w:rFonts w:ascii="Arial" w:hAnsi="Arial" w:cs="Arial"/>
          <w:sz w:val="22"/>
          <w:szCs w:val="22"/>
        </w:rPr>
      </w:pPr>
    </w:p>
    <w:p w14:paraId="3EEA128C"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t>Escalation Table</w:t>
      </w:r>
    </w:p>
    <w:p w14:paraId="34D66452" w14:textId="77777777" w:rsidR="00C61576" w:rsidRPr="00D45679" w:rsidRDefault="00C61576" w:rsidP="00C61576">
      <w:pPr>
        <w:spacing w:line="276" w:lineRule="auto"/>
        <w:jc w:val="both"/>
        <w:rPr>
          <w:rFonts w:ascii="Arial" w:hAnsi="Arial" w:cs="Arial"/>
          <w:sz w:val="22"/>
          <w:szCs w:val="22"/>
        </w:rPr>
      </w:pPr>
    </w:p>
    <w:p w14:paraId="1FD36101" w14:textId="3AA3F1E9" w:rsidR="00C61576" w:rsidRPr="00D45679" w:rsidRDefault="002C0278" w:rsidP="00C61576">
      <w:pPr>
        <w:spacing w:line="276" w:lineRule="auto"/>
        <w:jc w:val="both"/>
        <w:rPr>
          <w:rFonts w:ascii="Arial" w:hAnsi="Arial" w:cs="Arial"/>
          <w:sz w:val="22"/>
          <w:szCs w:val="22"/>
        </w:rPr>
      </w:pPr>
      <w:r w:rsidRPr="002C0278">
        <w:rPr>
          <w:rFonts w:ascii="Arial" w:hAnsi="Arial" w:cs="Arial"/>
          <w:noProof/>
          <w:sz w:val="22"/>
          <w:szCs w:val="22"/>
        </w:rPr>
        <mc:AlternateContent>
          <mc:Choice Requires="wps">
            <w:drawing>
              <wp:anchor distT="0" distB="0" distL="114300" distR="114300" simplePos="0" relativeHeight="251661312" behindDoc="0" locked="0" layoutInCell="1" allowOverlap="1" wp14:anchorId="235FAD64" wp14:editId="076D143F">
                <wp:simplePos x="0" y="0"/>
                <wp:positionH relativeFrom="column">
                  <wp:posOffset>2000250</wp:posOffset>
                </wp:positionH>
                <wp:positionV relativeFrom="paragraph">
                  <wp:posOffset>86360</wp:posOffset>
                </wp:positionV>
                <wp:extent cx="336550" cy="0"/>
                <wp:effectExtent l="6350" t="52705" r="19050" b="615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D594EB" id="_x0000_t32" coordsize="21600,21600" o:spt="32" o:oned="t" path="m,l21600,21600e" filled="f">
                <v:path arrowok="t" fillok="f" o:connecttype="none"/>
                <o:lock v:ext="edit" shapetype="t"/>
              </v:shapetype>
              <v:shape id="AutoShape 20" o:spid="_x0000_s1026" type="#_x0000_t32" style="position:absolute;margin-left:157.5pt;margin-top:6.8pt;width:2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MtMwIAAF0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">
                <v:stroke endarrow="block"/>
              </v:shape>
            </w:pict>
          </mc:Fallback>
        </mc:AlternateContent>
      </w:r>
      <w:r w:rsidRPr="002C0278">
        <w:rPr>
          <w:rFonts w:ascii="Arial" w:hAnsi="Arial" w:cs="Arial"/>
          <w:noProof/>
          <w:sz w:val="22"/>
          <w:szCs w:val="22"/>
        </w:rPr>
        <mc:AlternateContent>
          <mc:Choice Requires="wps">
            <w:drawing>
              <wp:anchor distT="0" distB="0" distL="114300" distR="114300" simplePos="0" relativeHeight="251662336" behindDoc="0" locked="0" layoutInCell="1" allowOverlap="1" wp14:anchorId="0CB32CE9" wp14:editId="243C2FD0">
                <wp:simplePos x="0" y="0"/>
                <wp:positionH relativeFrom="column">
                  <wp:posOffset>3175000</wp:posOffset>
                </wp:positionH>
                <wp:positionV relativeFrom="paragraph">
                  <wp:posOffset>86360</wp:posOffset>
                </wp:positionV>
                <wp:extent cx="336550" cy="0"/>
                <wp:effectExtent l="0" t="76200" r="25400" b="952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712BF" id="AutoShape 21" o:spid="_x0000_s1026" type="#_x0000_t32" style="position:absolute;margin-left:250pt;margin-top:6.8pt;width: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">
                <v:stroke endarrow="block"/>
              </v:shape>
            </w:pict>
          </mc:Fallback>
        </mc:AlternateContent>
      </w:r>
      <w:r w:rsidRPr="002C0278">
        <w:rPr>
          <w:rFonts w:ascii="Arial" w:hAnsi="Arial" w:cs="Arial"/>
          <w:noProof/>
          <w:sz w:val="22"/>
          <w:szCs w:val="22"/>
        </w:rPr>
        <mc:AlternateContent>
          <mc:Choice Requires="wps">
            <w:drawing>
              <wp:anchor distT="0" distB="0" distL="114300" distR="114300" simplePos="0" relativeHeight="251660288" behindDoc="0" locked="0" layoutInCell="1" allowOverlap="1" wp14:anchorId="0CAA3166" wp14:editId="5BA1C06D">
                <wp:simplePos x="0" y="0"/>
                <wp:positionH relativeFrom="column">
                  <wp:posOffset>1122680</wp:posOffset>
                </wp:positionH>
                <wp:positionV relativeFrom="paragraph">
                  <wp:posOffset>86360</wp:posOffset>
                </wp:positionV>
                <wp:extent cx="336550" cy="0"/>
                <wp:effectExtent l="12065" t="52705" r="22860" b="61595"/>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0D8CD" id="AutoShape 19" o:spid="_x0000_s1026" type="#_x0000_t32" style="position:absolute;margin-left:88.4pt;margin-top:6.8pt;width:2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dk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NsGfozGFeAWaV2NlRIT+rZPGn6zSGlq46olkfrl7MB5yx4JG9cwsUZyLIfPmkGNgQS&#10;xGadGtuHkNAGdIozOd9nwk8eUfg4nc5nM5gc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">
                <v:stroke endarrow="block"/>
              </v:shape>
            </w:pict>
          </mc:Fallback>
        </mc:AlternateContent>
      </w:r>
      <w:r w:rsidR="00C61576" w:rsidRPr="002C0278">
        <w:rPr>
          <w:rFonts w:ascii="Arial" w:hAnsi="Arial" w:cs="Arial"/>
          <w:noProof/>
          <w:sz w:val="22"/>
          <w:szCs w:val="22"/>
        </w:rPr>
        <mc:AlternateContent>
          <mc:Choice Requires="wps">
            <w:drawing>
              <wp:anchor distT="0" distB="0" distL="114300" distR="114300" simplePos="0" relativeHeight="251659264" behindDoc="0" locked="0" layoutInCell="1" allowOverlap="1" wp14:anchorId="42F712C7" wp14:editId="5112AADA">
                <wp:simplePos x="0" y="0"/>
                <wp:positionH relativeFrom="column">
                  <wp:posOffset>888365</wp:posOffset>
                </wp:positionH>
                <wp:positionV relativeFrom="paragraph">
                  <wp:posOffset>86360</wp:posOffset>
                </wp:positionV>
                <wp:extent cx="405765" cy="0"/>
                <wp:effectExtent l="2540" t="0" r="1270" b="444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D092F" id="AutoShape 18" o:spid="_x0000_s1026" type="#_x0000_t32" style="position:absolute;margin-left:69.95pt;margin-top:6.8pt;width:3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" stroked="f">
                <v:stroke endarrow="block"/>
              </v:shape>
            </w:pict>
          </mc:Fallback>
        </mc:AlternateContent>
      </w:r>
      <w:r w:rsidRPr="002C0278">
        <w:rPr>
          <w:rFonts w:ascii="Arial" w:hAnsi="Arial" w:cs="Arial"/>
          <w:noProof/>
          <w:sz w:val="22"/>
          <w:szCs w:val="22"/>
        </w:rPr>
        <w:t>Service Director</w:t>
      </w:r>
      <w:r w:rsidR="00C61576" w:rsidRPr="002C0278">
        <w:rPr>
          <w:rFonts w:ascii="Arial" w:hAnsi="Arial" w:cs="Arial"/>
          <w:sz w:val="22"/>
          <w:szCs w:val="22"/>
        </w:rPr>
        <w:t xml:space="preserve">          </w:t>
      </w:r>
      <w:r>
        <w:rPr>
          <w:rFonts w:ascii="Arial" w:hAnsi="Arial" w:cs="Arial"/>
          <w:sz w:val="22"/>
          <w:szCs w:val="22"/>
        </w:rPr>
        <w:t xml:space="preserve">       </w:t>
      </w:r>
      <w:r w:rsidR="00C61576" w:rsidRPr="002C0278">
        <w:rPr>
          <w:rFonts w:ascii="Arial" w:hAnsi="Arial" w:cs="Arial"/>
          <w:sz w:val="22"/>
          <w:szCs w:val="22"/>
        </w:rPr>
        <w:t xml:space="preserve">CEO           </w:t>
      </w:r>
      <w:r>
        <w:rPr>
          <w:rFonts w:ascii="Arial" w:hAnsi="Arial" w:cs="Arial"/>
          <w:sz w:val="22"/>
          <w:szCs w:val="22"/>
        </w:rPr>
        <w:t xml:space="preserve">  </w:t>
      </w:r>
      <w:r w:rsidR="00C61576" w:rsidRPr="002C0278">
        <w:rPr>
          <w:rFonts w:ascii="Arial" w:hAnsi="Arial" w:cs="Arial"/>
          <w:sz w:val="22"/>
          <w:szCs w:val="22"/>
        </w:rPr>
        <w:t>Trustees                 Chair</w:t>
      </w:r>
    </w:p>
    <w:p w14:paraId="0B3D1438" w14:textId="77777777" w:rsidR="00C61576" w:rsidRPr="00D45679" w:rsidRDefault="00C61576" w:rsidP="00C61576">
      <w:pPr>
        <w:spacing w:line="276" w:lineRule="auto"/>
        <w:jc w:val="both"/>
        <w:rPr>
          <w:rFonts w:ascii="Arial" w:hAnsi="Arial" w:cs="Arial"/>
          <w:sz w:val="22"/>
          <w:szCs w:val="22"/>
        </w:rPr>
      </w:pPr>
    </w:p>
    <w:p w14:paraId="413D6C4E" w14:textId="77777777" w:rsidR="00C61576" w:rsidRPr="00D45679" w:rsidRDefault="00C61576" w:rsidP="00C61576">
      <w:pPr>
        <w:spacing w:line="276" w:lineRule="auto"/>
        <w:jc w:val="both"/>
        <w:rPr>
          <w:rFonts w:ascii="Arial" w:hAnsi="Arial" w:cs="Arial"/>
          <w:sz w:val="22"/>
          <w:szCs w:val="22"/>
          <w:u w:val="single"/>
        </w:rPr>
      </w:pPr>
      <w:r w:rsidRPr="00D45679">
        <w:rPr>
          <w:rFonts w:ascii="Arial" w:hAnsi="Arial" w:cs="Arial"/>
          <w:sz w:val="22"/>
          <w:szCs w:val="22"/>
          <w:u w:val="single"/>
        </w:rPr>
        <w:t>Linked policies and procedures:</w:t>
      </w:r>
    </w:p>
    <w:p w14:paraId="6C70BC82" w14:textId="77777777" w:rsidR="00C61576" w:rsidRPr="00915399" w:rsidRDefault="00C61576" w:rsidP="00C61576">
      <w:pPr>
        <w:numPr>
          <w:ilvl w:val="0"/>
          <w:numId w:val="4"/>
        </w:numPr>
        <w:tabs>
          <w:tab w:val="clear" w:pos="720"/>
          <w:tab w:val="num" w:pos="567"/>
        </w:tabs>
        <w:spacing w:line="276" w:lineRule="auto"/>
        <w:ind w:left="567" w:hanging="567"/>
        <w:jc w:val="both"/>
        <w:rPr>
          <w:rFonts w:ascii="Arial" w:hAnsi="Arial" w:cs="Arial"/>
          <w:sz w:val="22"/>
          <w:szCs w:val="22"/>
        </w:rPr>
      </w:pPr>
      <w:r w:rsidRPr="00915399">
        <w:rPr>
          <w:rFonts w:ascii="Arial" w:hAnsi="Arial" w:cs="Arial"/>
          <w:sz w:val="22"/>
          <w:szCs w:val="22"/>
        </w:rPr>
        <w:t>Dignity at Work</w:t>
      </w:r>
    </w:p>
    <w:p w14:paraId="3BFCAEB4" w14:textId="77777777" w:rsidR="00C61576" w:rsidRPr="00915399" w:rsidRDefault="00C61576" w:rsidP="00C61576">
      <w:pPr>
        <w:numPr>
          <w:ilvl w:val="0"/>
          <w:numId w:val="4"/>
        </w:numPr>
        <w:tabs>
          <w:tab w:val="clear" w:pos="720"/>
          <w:tab w:val="num" w:pos="567"/>
        </w:tabs>
        <w:spacing w:line="276" w:lineRule="auto"/>
        <w:ind w:left="567" w:hanging="567"/>
        <w:jc w:val="both"/>
        <w:rPr>
          <w:rFonts w:ascii="Arial" w:hAnsi="Arial" w:cs="Arial"/>
          <w:sz w:val="22"/>
          <w:szCs w:val="22"/>
        </w:rPr>
      </w:pPr>
      <w:r w:rsidRPr="00915399">
        <w:rPr>
          <w:rFonts w:ascii="Arial" w:hAnsi="Arial" w:cs="Arial"/>
          <w:sz w:val="22"/>
          <w:szCs w:val="22"/>
        </w:rPr>
        <w:t>Grievance Procedure</w:t>
      </w:r>
    </w:p>
    <w:p w14:paraId="67C70362" w14:textId="77777777" w:rsidR="00C61576" w:rsidRPr="00915399" w:rsidRDefault="00C61576" w:rsidP="00C61576">
      <w:pPr>
        <w:numPr>
          <w:ilvl w:val="0"/>
          <w:numId w:val="4"/>
        </w:numPr>
        <w:tabs>
          <w:tab w:val="clear" w:pos="720"/>
          <w:tab w:val="num" w:pos="567"/>
        </w:tabs>
        <w:spacing w:line="276" w:lineRule="auto"/>
        <w:ind w:left="567" w:hanging="567"/>
        <w:jc w:val="both"/>
        <w:rPr>
          <w:rFonts w:ascii="Arial" w:hAnsi="Arial" w:cs="Arial"/>
          <w:sz w:val="22"/>
          <w:szCs w:val="22"/>
        </w:rPr>
      </w:pPr>
      <w:r w:rsidRPr="00915399">
        <w:rPr>
          <w:rFonts w:ascii="Arial" w:hAnsi="Arial" w:cs="Arial"/>
          <w:sz w:val="22"/>
          <w:szCs w:val="22"/>
        </w:rPr>
        <w:t>Disciplinary Procedure</w:t>
      </w:r>
    </w:p>
    <w:p w14:paraId="58D9B831" w14:textId="77777777" w:rsidR="00C61576" w:rsidRPr="00D45679" w:rsidRDefault="00C61576" w:rsidP="00C61576">
      <w:pPr>
        <w:spacing w:line="276" w:lineRule="auto"/>
        <w:jc w:val="both"/>
        <w:rPr>
          <w:rFonts w:ascii="Arial" w:hAnsi="Arial" w:cs="Arial"/>
          <w:i/>
          <w:sz w:val="22"/>
          <w:szCs w:val="22"/>
        </w:rPr>
      </w:pPr>
    </w:p>
    <w:p w14:paraId="337C17BA" w14:textId="77777777" w:rsidR="00C61576" w:rsidRDefault="00C61576" w:rsidP="00C61576">
      <w:pPr>
        <w:spacing w:line="276" w:lineRule="auto"/>
        <w:jc w:val="both"/>
        <w:rPr>
          <w:rFonts w:ascii="Arial" w:hAnsi="Arial" w:cs="Arial"/>
          <w:i/>
          <w:sz w:val="22"/>
          <w:szCs w:val="22"/>
        </w:rPr>
      </w:pPr>
      <w:r w:rsidRPr="00D45679">
        <w:rPr>
          <w:rFonts w:ascii="Arial" w:hAnsi="Arial" w:cs="Arial"/>
          <w:i/>
          <w:sz w:val="22"/>
          <w:szCs w:val="22"/>
        </w:rPr>
        <w:t>This is a non-contractual policy and procedure which will be reviewed from time to time.</w:t>
      </w:r>
    </w:p>
    <w:sectPr w:rsidR="00C615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625B"/>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24DBD"/>
    <w:multiLevelType w:val="hybridMultilevel"/>
    <w:tmpl w:val="11AAED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60D8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17D64"/>
    <w:multiLevelType w:val="multilevel"/>
    <w:tmpl w:val="EAFAF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76"/>
    <w:rsid w:val="0012532E"/>
    <w:rsid w:val="0016555C"/>
    <w:rsid w:val="002C0278"/>
    <w:rsid w:val="002C4C27"/>
    <w:rsid w:val="00517E58"/>
    <w:rsid w:val="00A41432"/>
    <w:rsid w:val="00C61576"/>
    <w:rsid w:val="00D45670"/>
    <w:rsid w:val="00E0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3EF8"/>
  <w15:chartTrackingRefBased/>
  <w15:docId w15:val="{607AB6F3-3C53-46F0-9512-41EDF4C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76"/>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C6157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Heading1"/>
    <w:next w:val="Normal"/>
    <w:link w:val="Heading2Char"/>
    <w:qFormat/>
    <w:rsid w:val="00C61576"/>
    <w:pPr>
      <w:pBdr>
        <w:bottom w:val="single" w:sz="4" w:space="1" w:color="auto"/>
      </w:pBdr>
      <w:spacing w:before="0" w:line="276" w:lineRule="auto"/>
      <w:outlineLvl w:val="1"/>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576"/>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rsid w:val="00C61576"/>
    <w:rPr>
      <w:rFonts w:eastAsiaTheme="majorEastAsia"/>
      <w:b/>
      <w:bCs/>
      <w:color w:val="000000" w:themeColor="text1"/>
      <w:sz w:val="28"/>
      <w:szCs w:val="28"/>
      <w:lang w:eastAsia="en-GB"/>
    </w:rPr>
  </w:style>
  <w:style w:type="character" w:styleId="CommentReference">
    <w:name w:val="annotation reference"/>
    <w:basedOn w:val="DefaultParagraphFont"/>
    <w:uiPriority w:val="99"/>
    <w:rsid w:val="00C61576"/>
    <w:rPr>
      <w:sz w:val="16"/>
      <w:szCs w:val="16"/>
    </w:rPr>
  </w:style>
  <w:style w:type="paragraph" w:styleId="CommentText">
    <w:name w:val="annotation text"/>
    <w:basedOn w:val="Normal"/>
    <w:link w:val="CommentTextChar"/>
    <w:uiPriority w:val="99"/>
    <w:rsid w:val="00C61576"/>
  </w:style>
  <w:style w:type="character" w:customStyle="1" w:styleId="CommentTextChar">
    <w:name w:val="Comment Text Char"/>
    <w:basedOn w:val="DefaultParagraphFont"/>
    <w:link w:val="CommentText"/>
    <w:uiPriority w:val="99"/>
    <w:rsid w:val="00C61576"/>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C61576"/>
    <w:rPr>
      <w:color w:val="0563C1" w:themeColor="hyperlink"/>
      <w:u w:val="single"/>
    </w:rPr>
  </w:style>
  <w:style w:type="paragraph" w:styleId="BalloonText">
    <w:name w:val="Balloon Text"/>
    <w:basedOn w:val="Normal"/>
    <w:link w:val="BalloonTextChar"/>
    <w:uiPriority w:val="99"/>
    <w:semiHidden/>
    <w:unhideWhenUsed/>
    <w:rsid w:val="00C61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576"/>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61576"/>
    <w:rPr>
      <w:b/>
      <w:bCs/>
    </w:rPr>
  </w:style>
  <w:style w:type="character" w:customStyle="1" w:styleId="CommentSubjectChar">
    <w:name w:val="Comment Subject Char"/>
    <w:basedOn w:val="CommentTextChar"/>
    <w:link w:val="CommentSubject"/>
    <w:uiPriority w:val="99"/>
    <w:semiHidden/>
    <w:rsid w:val="00C61576"/>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Fox</dc:creator>
  <cp:keywords/>
  <dc:description/>
  <cp:lastModifiedBy>Sylvia Nissim</cp:lastModifiedBy>
  <cp:revision>2</cp:revision>
  <dcterms:created xsi:type="dcterms:W3CDTF">2018-07-06T14:55:00Z</dcterms:created>
  <dcterms:modified xsi:type="dcterms:W3CDTF">2018-07-06T14:55:00Z</dcterms:modified>
</cp:coreProperties>
</file>