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29" w:rsidRDefault="00B50968">
      <w:pPr>
        <w:rPr>
          <w:rFonts w:ascii="Arial" w:hAnsi="Arial" w:cs="Arial"/>
          <w:b/>
          <w:sz w:val="24"/>
          <w:szCs w:val="24"/>
        </w:rPr>
      </w:pPr>
      <w:bookmarkStart w:id="0" w:name="_GoBack"/>
      <w:bookmarkEnd w:id="0"/>
      <w:r>
        <w:rPr>
          <w:rFonts w:ascii="Arial" w:hAnsi="Arial" w:cs="Arial"/>
          <w:b/>
          <w:sz w:val="24"/>
          <w:szCs w:val="24"/>
        </w:rPr>
        <w:t>Data Flow Mapping</w:t>
      </w:r>
    </w:p>
    <w:tbl>
      <w:tblPr>
        <w:tblStyle w:val="TableGrid"/>
        <w:tblW w:w="0" w:type="auto"/>
        <w:tblLook w:val="04A0" w:firstRow="1" w:lastRow="0" w:firstColumn="1" w:lastColumn="0" w:noHBand="0" w:noVBand="1"/>
      </w:tblPr>
      <w:tblGrid>
        <w:gridCol w:w="2254"/>
        <w:gridCol w:w="2254"/>
        <w:gridCol w:w="2254"/>
        <w:gridCol w:w="2254"/>
      </w:tblGrid>
      <w:tr w:rsidR="00B50968" w:rsidTr="00FF74E6">
        <w:tc>
          <w:tcPr>
            <w:tcW w:w="2254" w:type="dxa"/>
          </w:tcPr>
          <w:p w:rsidR="00B50968" w:rsidRDefault="00B50968">
            <w:pPr>
              <w:rPr>
                <w:rFonts w:ascii="Arial" w:hAnsi="Arial" w:cs="Arial"/>
                <w:b/>
              </w:rPr>
            </w:pPr>
            <w:r>
              <w:rPr>
                <w:rFonts w:ascii="Arial" w:hAnsi="Arial" w:cs="Arial"/>
                <w:b/>
              </w:rPr>
              <w:t>Policy Group</w:t>
            </w:r>
          </w:p>
        </w:tc>
        <w:tc>
          <w:tcPr>
            <w:tcW w:w="6762" w:type="dxa"/>
            <w:gridSpan w:val="3"/>
          </w:tcPr>
          <w:p w:rsidR="00B50968" w:rsidRPr="00B50968" w:rsidRDefault="00B50968">
            <w:pPr>
              <w:rPr>
                <w:rFonts w:ascii="Arial" w:hAnsi="Arial" w:cs="Arial"/>
              </w:rPr>
            </w:pPr>
            <w:r w:rsidRPr="00B50968">
              <w:rPr>
                <w:rFonts w:ascii="Arial" w:hAnsi="Arial" w:cs="Arial"/>
              </w:rPr>
              <w:t>Information Governance</w:t>
            </w:r>
          </w:p>
        </w:tc>
      </w:tr>
      <w:tr w:rsidR="00B50968" w:rsidTr="00B50968">
        <w:tc>
          <w:tcPr>
            <w:tcW w:w="2254" w:type="dxa"/>
          </w:tcPr>
          <w:p w:rsidR="00B50968" w:rsidRDefault="00B50968">
            <w:pPr>
              <w:rPr>
                <w:rFonts w:ascii="Arial" w:hAnsi="Arial" w:cs="Arial"/>
                <w:b/>
              </w:rPr>
            </w:pPr>
            <w:r>
              <w:rPr>
                <w:rFonts w:ascii="Arial" w:hAnsi="Arial" w:cs="Arial"/>
                <w:b/>
              </w:rPr>
              <w:t>Procedure No.</w:t>
            </w:r>
          </w:p>
        </w:tc>
        <w:tc>
          <w:tcPr>
            <w:tcW w:w="2254" w:type="dxa"/>
          </w:tcPr>
          <w:p w:rsidR="00B50968" w:rsidRPr="00B50968" w:rsidRDefault="00B50968">
            <w:pPr>
              <w:rPr>
                <w:rFonts w:ascii="Arial" w:hAnsi="Arial" w:cs="Arial"/>
              </w:rPr>
            </w:pPr>
            <w:r w:rsidRPr="00B50968">
              <w:rPr>
                <w:rFonts w:ascii="Arial" w:hAnsi="Arial" w:cs="Arial"/>
              </w:rPr>
              <w:t>1</w:t>
            </w:r>
          </w:p>
        </w:tc>
        <w:tc>
          <w:tcPr>
            <w:tcW w:w="2254" w:type="dxa"/>
          </w:tcPr>
          <w:p w:rsidR="00B50968" w:rsidRDefault="00B50968">
            <w:pPr>
              <w:rPr>
                <w:rFonts w:ascii="Arial" w:hAnsi="Arial" w:cs="Arial"/>
                <w:b/>
              </w:rPr>
            </w:pPr>
            <w:r>
              <w:rPr>
                <w:rFonts w:ascii="Arial" w:hAnsi="Arial" w:cs="Arial"/>
                <w:b/>
              </w:rPr>
              <w:t>Version No.</w:t>
            </w:r>
          </w:p>
        </w:tc>
        <w:tc>
          <w:tcPr>
            <w:tcW w:w="2254" w:type="dxa"/>
          </w:tcPr>
          <w:p w:rsidR="00B50968" w:rsidRPr="00B50968" w:rsidRDefault="00B50968">
            <w:pPr>
              <w:rPr>
                <w:rFonts w:ascii="Arial" w:hAnsi="Arial" w:cs="Arial"/>
              </w:rPr>
            </w:pPr>
            <w:r w:rsidRPr="00B50968">
              <w:rPr>
                <w:rFonts w:ascii="Arial" w:hAnsi="Arial" w:cs="Arial"/>
              </w:rPr>
              <w:t>1</w:t>
            </w:r>
          </w:p>
        </w:tc>
      </w:tr>
      <w:tr w:rsidR="00B50968" w:rsidTr="00B50968">
        <w:tc>
          <w:tcPr>
            <w:tcW w:w="2254" w:type="dxa"/>
          </w:tcPr>
          <w:p w:rsidR="00B50968" w:rsidRDefault="00B50968">
            <w:pPr>
              <w:rPr>
                <w:rFonts w:ascii="Arial" w:hAnsi="Arial" w:cs="Arial"/>
                <w:b/>
              </w:rPr>
            </w:pPr>
            <w:r>
              <w:rPr>
                <w:rFonts w:ascii="Arial" w:hAnsi="Arial" w:cs="Arial"/>
                <w:b/>
              </w:rPr>
              <w:t>Written by</w:t>
            </w:r>
          </w:p>
        </w:tc>
        <w:tc>
          <w:tcPr>
            <w:tcW w:w="2254" w:type="dxa"/>
          </w:tcPr>
          <w:p w:rsidR="00B50968" w:rsidRDefault="00B50968">
            <w:pPr>
              <w:rPr>
                <w:rFonts w:ascii="Arial" w:hAnsi="Arial" w:cs="Arial"/>
                <w:b/>
              </w:rPr>
            </w:pPr>
          </w:p>
        </w:tc>
        <w:tc>
          <w:tcPr>
            <w:tcW w:w="2254" w:type="dxa"/>
          </w:tcPr>
          <w:p w:rsidR="00B50968" w:rsidRDefault="00B50968">
            <w:pPr>
              <w:rPr>
                <w:rFonts w:ascii="Arial" w:hAnsi="Arial" w:cs="Arial"/>
                <w:b/>
              </w:rPr>
            </w:pPr>
            <w:r>
              <w:rPr>
                <w:rFonts w:ascii="Arial" w:hAnsi="Arial" w:cs="Arial"/>
                <w:b/>
              </w:rPr>
              <w:t>Ratified By</w:t>
            </w:r>
          </w:p>
        </w:tc>
        <w:tc>
          <w:tcPr>
            <w:tcW w:w="2254" w:type="dxa"/>
          </w:tcPr>
          <w:p w:rsidR="00B50968" w:rsidRDefault="00B50968">
            <w:pPr>
              <w:rPr>
                <w:rFonts w:ascii="Arial" w:hAnsi="Arial" w:cs="Arial"/>
                <w:b/>
              </w:rPr>
            </w:pPr>
          </w:p>
        </w:tc>
      </w:tr>
      <w:tr w:rsidR="00B50968" w:rsidTr="00B50968">
        <w:tc>
          <w:tcPr>
            <w:tcW w:w="2254" w:type="dxa"/>
          </w:tcPr>
          <w:p w:rsidR="00B50968" w:rsidRDefault="00B50968">
            <w:pPr>
              <w:rPr>
                <w:rFonts w:ascii="Arial" w:hAnsi="Arial" w:cs="Arial"/>
                <w:b/>
              </w:rPr>
            </w:pPr>
            <w:r>
              <w:rPr>
                <w:rFonts w:ascii="Arial" w:hAnsi="Arial" w:cs="Arial"/>
                <w:b/>
              </w:rPr>
              <w:t>Date Ratified</w:t>
            </w:r>
          </w:p>
        </w:tc>
        <w:tc>
          <w:tcPr>
            <w:tcW w:w="2254" w:type="dxa"/>
          </w:tcPr>
          <w:p w:rsidR="00B50968" w:rsidRDefault="00B50968">
            <w:pPr>
              <w:rPr>
                <w:rFonts w:ascii="Arial" w:hAnsi="Arial" w:cs="Arial"/>
                <w:b/>
              </w:rPr>
            </w:pPr>
          </w:p>
        </w:tc>
        <w:tc>
          <w:tcPr>
            <w:tcW w:w="2254" w:type="dxa"/>
          </w:tcPr>
          <w:p w:rsidR="00B50968" w:rsidRDefault="00B50968">
            <w:pPr>
              <w:rPr>
                <w:rFonts w:ascii="Arial" w:hAnsi="Arial" w:cs="Arial"/>
                <w:b/>
              </w:rPr>
            </w:pPr>
            <w:r>
              <w:rPr>
                <w:rFonts w:ascii="Arial" w:hAnsi="Arial" w:cs="Arial"/>
                <w:b/>
              </w:rPr>
              <w:t>Review Date</w:t>
            </w:r>
          </w:p>
        </w:tc>
        <w:tc>
          <w:tcPr>
            <w:tcW w:w="2254" w:type="dxa"/>
          </w:tcPr>
          <w:p w:rsidR="00B50968" w:rsidRDefault="00B50968">
            <w:pPr>
              <w:rPr>
                <w:rFonts w:ascii="Arial" w:hAnsi="Arial" w:cs="Arial"/>
                <w:b/>
              </w:rPr>
            </w:pPr>
          </w:p>
        </w:tc>
      </w:tr>
    </w:tbl>
    <w:p w:rsidR="00B50968" w:rsidRDefault="00B50968">
      <w:pPr>
        <w:rPr>
          <w:rFonts w:ascii="Arial" w:hAnsi="Arial" w:cs="Arial"/>
          <w:b/>
        </w:rPr>
      </w:pPr>
    </w:p>
    <w:p w:rsidR="00B50968" w:rsidRDefault="00B50968">
      <w:pPr>
        <w:rPr>
          <w:rFonts w:ascii="Arial" w:hAnsi="Arial" w:cs="Arial"/>
        </w:rPr>
      </w:pPr>
      <w:r w:rsidRPr="00B50968">
        <w:rPr>
          <w:rFonts w:ascii="Arial" w:hAnsi="Arial" w:cs="Arial"/>
        </w:rPr>
        <w:t xml:space="preserve">This procedure is applicable to all staff working with </w:t>
      </w:r>
      <w:r>
        <w:rPr>
          <w:rFonts w:ascii="Arial" w:hAnsi="Arial" w:cs="Arial"/>
        </w:rPr>
        <w:t>……</w:t>
      </w:r>
      <w:proofErr w:type="gramStart"/>
      <w:r>
        <w:rPr>
          <w:rFonts w:ascii="Arial" w:hAnsi="Arial" w:cs="Arial"/>
        </w:rPr>
        <w:t>…</w:t>
      </w:r>
      <w:r w:rsidR="00B14056">
        <w:rPr>
          <w:rFonts w:ascii="Arial" w:hAnsi="Arial" w:cs="Arial"/>
        </w:rPr>
        <w:t>[</w:t>
      </w:r>
      <w:proofErr w:type="gramEnd"/>
      <w:r w:rsidR="00B14056">
        <w:rPr>
          <w:rFonts w:ascii="Arial" w:hAnsi="Arial" w:cs="Arial"/>
        </w:rPr>
        <w:t>organisation name]</w:t>
      </w:r>
      <w:r>
        <w:rPr>
          <w:rFonts w:ascii="Arial" w:hAnsi="Arial" w:cs="Arial"/>
        </w:rPr>
        <w:t>…………..</w:t>
      </w:r>
    </w:p>
    <w:p w:rsidR="00B50968" w:rsidRPr="00B14056" w:rsidRDefault="00B14056">
      <w:pPr>
        <w:rPr>
          <w:rFonts w:ascii="Arial" w:hAnsi="Arial" w:cs="Arial"/>
          <w:b/>
          <w:color w:val="1F4E79" w:themeColor="accent1" w:themeShade="80"/>
        </w:rPr>
      </w:pPr>
      <w:r w:rsidRPr="00B14056">
        <w:rPr>
          <w:rFonts w:ascii="Arial" w:hAnsi="Arial" w:cs="Arial"/>
          <w:b/>
          <w:color w:val="1F4E79" w:themeColor="accent1" w:themeShade="80"/>
        </w:rPr>
        <w:t>Purpose</w:t>
      </w:r>
    </w:p>
    <w:p w:rsidR="00B14056" w:rsidRDefault="00B14056">
      <w:pPr>
        <w:rPr>
          <w:rFonts w:ascii="Arial" w:hAnsi="Arial" w:cs="Arial"/>
        </w:rPr>
      </w:pPr>
      <w:r>
        <w:rPr>
          <w:rFonts w:ascii="Arial" w:hAnsi="Arial" w:cs="Arial"/>
        </w:rPr>
        <w:t>Data Flow Mapping will be undertaken in order for the organisation to understand and identify any person identifiable data (‘PID’) is being sent internally and externally throughout the organisation, how it is being sent and to capture any locally held PID.</w:t>
      </w:r>
    </w:p>
    <w:p w:rsidR="00B14056" w:rsidRDefault="00B14056">
      <w:pPr>
        <w:rPr>
          <w:rFonts w:ascii="Arial" w:hAnsi="Arial" w:cs="Arial"/>
        </w:rPr>
      </w:pPr>
      <w:r>
        <w:rPr>
          <w:rFonts w:ascii="Arial" w:hAnsi="Arial" w:cs="Arial"/>
        </w:rPr>
        <w:t>This will enable the organisation to identify any security risks in the process used to send PID.  Once identified the organisation will be able to assess the risk of any potential breach of confidentiality, reassess the processes used and thereby mitigate any identified risk.</w:t>
      </w:r>
    </w:p>
    <w:p w:rsidR="00B0551A" w:rsidRDefault="00B0551A">
      <w:pPr>
        <w:rPr>
          <w:rFonts w:ascii="Arial" w:hAnsi="Arial" w:cs="Arial"/>
        </w:rPr>
      </w:pPr>
      <w:r>
        <w:rPr>
          <w:rFonts w:ascii="Arial" w:hAnsi="Arial" w:cs="Arial"/>
        </w:rPr>
        <w:t>Data Flow is the process by which information gets from one place to another and encompasses its final destination.  Data Flow Mapping will ensure measures are in place to ensure data is filed, or reaches its destination, safely.</w:t>
      </w:r>
    </w:p>
    <w:p w:rsidR="00B14056" w:rsidRPr="00B14056" w:rsidRDefault="00B14056" w:rsidP="00B14056">
      <w:pPr>
        <w:rPr>
          <w:rFonts w:ascii="Arial" w:hAnsi="Arial" w:cs="Arial"/>
          <w:b/>
          <w:color w:val="1F4E79" w:themeColor="accent1" w:themeShade="80"/>
        </w:rPr>
      </w:pPr>
      <w:r>
        <w:rPr>
          <w:rFonts w:ascii="Arial" w:hAnsi="Arial" w:cs="Arial"/>
          <w:b/>
          <w:color w:val="1F4E79" w:themeColor="accent1" w:themeShade="80"/>
        </w:rPr>
        <w:t>Person Identifiable Data (‘PID’)</w:t>
      </w:r>
    </w:p>
    <w:p w:rsidR="00B14056" w:rsidRDefault="00B14056" w:rsidP="00B14056">
      <w:pPr>
        <w:rPr>
          <w:rFonts w:ascii="Arial" w:hAnsi="Arial" w:cs="Arial"/>
        </w:rPr>
      </w:pPr>
      <w:r>
        <w:rPr>
          <w:rFonts w:ascii="Arial" w:hAnsi="Arial" w:cs="Arial"/>
        </w:rPr>
        <w:t>This includes any data which contains a person’s name and/or other information which could identify the person to whom it relates.  This may be information which stands alone or is read in conjunction with other data.</w:t>
      </w:r>
      <w:r w:rsidR="00207F06">
        <w:rPr>
          <w:rFonts w:ascii="Arial" w:hAnsi="Arial" w:cs="Arial"/>
        </w:rPr>
        <w:t xml:space="preserve">  A direct example would be a person’s name or a combination of Date of Birth and Postcode.</w:t>
      </w:r>
    </w:p>
    <w:p w:rsidR="00B14056" w:rsidRDefault="00B14056" w:rsidP="00B14056">
      <w:pPr>
        <w:rPr>
          <w:rFonts w:ascii="Arial" w:hAnsi="Arial" w:cs="Arial"/>
        </w:rPr>
      </w:pPr>
      <w:r>
        <w:rPr>
          <w:rFonts w:ascii="Arial" w:hAnsi="Arial" w:cs="Arial"/>
        </w:rPr>
        <w:t xml:space="preserve">PID </w:t>
      </w:r>
      <w:r w:rsidR="00BF79D1">
        <w:rPr>
          <w:rFonts w:ascii="Arial" w:hAnsi="Arial" w:cs="Arial"/>
        </w:rPr>
        <w:t xml:space="preserve">is applicable to both staff, </w:t>
      </w:r>
      <w:r>
        <w:rPr>
          <w:rFonts w:ascii="Arial" w:hAnsi="Arial" w:cs="Arial"/>
        </w:rPr>
        <w:t>clients</w:t>
      </w:r>
      <w:r w:rsidR="00BF79D1">
        <w:rPr>
          <w:rFonts w:ascii="Arial" w:hAnsi="Arial" w:cs="Arial"/>
        </w:rPr>
        <w:t>, contractors, visitors</w:t>
      </w:r>
      <w:r>
        <w:rPr>
          <w:rFonts w:ascii="Arial" w:hAnsi="Arial" w:cs="Arial"/>
        </w:rPr>
        <w:t>.</w:t>
      </w:r>
    </w:p>
    <w:p w:rsidR="00B14056" w:rsidRPr="00B14056" w:rsidRDefault="00B14056" w:rsidP="00B14056">
      <w:pPr>
        <w:rPr>
          <w:rFonts w:ascii="Arial" w:hAnsi="Arial" w:cs="Arial"/>
          <w:b/>
          <w:color w:val="1F4E79" w:themeColor="accent1" w:themeShade="80"/>
        </w:rPr>
      </w:pPr>
      <w:r>
        <w:rPr>
          <w:rFonts w:ascii="Arial" w:hAnsi="Arial" w:cs="Arial"/>
          <w:b/>
          <w:color w:val="1F4E79" w:themeColor="accent1" w:themeShade="80"/>
        </w:rPr>
        <w:t>Information flows to be mapped</w:t>
      </w:r>
    </w:p>
    <w:p w:rsidR="00B14056" w:rsidRDefault="00B14056" w:rsidP="00B14056">
      <w:pPr>
        <w:rPr>
          <w:rFonts w:ascii="Arial" w:hAnsi="Arial" w:cs="Arial"/>
        </w:rPr>
      </w:pPr>
      <w:r>
        <w:rPr>
          <w:rFonts w:ascii="Arial" w:hAnsi="Arial" w:cs="Arial"/>
        </w:rPr>
        <w:t xml:space="preserve">Any type of exchange of PID should be mapped.  Individual items do not need to be mapped.  For example, </w:t>
      </w:r>
      <w:r w:rsidR="00207F06">
        <w:rPr>
          <w:rFonts w:ascii="Arial" w:hAnsi="Arial" w:cs="Arial"/>
        </w:rPr>
        <w:t>‘</w:t>
      </w:r>
      <w:r>
        <w:rPr>
          <w:rFonts w:ascii="Arial" w:hAnsi="Arial" w:cs="Arial"/>
        </w:rPr>
        <w:t>Letter to client</w:t>
      </w:r>
      <w:r w:rsidR="00207F06">
        <w:rPr>
          <w:rFonts w:ascii="Arial" w:hAnsi="Arial" w:cs="Arial"/>
        </w:rPr>
        <w:t>’</w:t>
      </w:r>
      <w:r>
        <w:rPr>
          <w:rFonts w:ascii="Arial" w:hAnsi="Arial" w:cs="Arial"/>
        </w:rPr>
        <w:t xml:space="preserve"> would be a group and would be mapped rather than Letter to Mr B, Letter to Mrs C</w:t>
      </w:r>
      <w:r w:rsidR="00914B80">
        <w:rPr>
          <w:rFonts w:ascii="Arial" w:hAnsi="Arial" w:cs="Arial"/>
        </w:rPr>
        <w:t>.</w:t>
      </w:r>
      <w:r w:rsidR="00207F06">
        <w:rPr>
          <w:rFonts w:ascii="Arial" w:hAnsi="Arial" w:cs="Arial"/>
        </w:rPr>
        <w:t xml:space="preserve">  Another example would be ‘Transporting data in the community’ rather than using an iPad when visiting ‘x’ venue and separately when visiting ‘y’ venue.</w:t>
      </w:r>
    </w:p>
    <w:p w:rsidR="00914B80" w:rsidRDefault="00914B80" w:rsidP="00B14056">
      <w:pPr>
        <w:rPr>
          <w:rFonts w:ascii="Arial" w:hAnsi="Arial" w:cs="Arial"/>
        </w:rPr>
      </w:pPr>
      <w:r>
        <w:rPr>
          <w:rFonts w:ascii="Arial" w:hAnsi="Arial" w:cs="Arial"/>
        </w:rPr>
        <w:t>Mapping should include both inward and outward bound information.</w:t>
      </w:r>
    </w:p>
    <w:p w:rsidR="00914B80" w:rsidRDefault="00914B80" w:rsidP="00B14056">
      <w:pPr>
        <w:rPr>
          <w:rFonts w:ascii="Arial" w:hAnsi="Arial" w:cs="Arial"/>
        </w:rPr>
      </w:pPr>
      <w:r>
        <w:rPr>
          <w:rFonts w:ascii="Arial" w:hAnsi="Arial" w:cs="Arial"/>
        </w:rPr>
        <w:t>Some examples are:</w:t>
      </w:r>
    </w:p>
    <w:p w:rsidR="00914B80" w:rsidRDefault="00914B80" w:rsidP="00914B80">
      <w:pPr>
        <w:pStyle w:val="ListParagraph"/>
        <w:numPr>
          <w:ilvl w:val="0"/>
          <w:numId w:val="3"/>
        </w:numPr>
        <w:rPr>
          <w:rFonts w:ascii="Arial" w:hAnsi="Arial" w:cs="Arial"/>
        </w:rPr>
      </w:pPr>
      <w:r>
        <w:rPr>
          <w:rFonts w:ascii="Arial" w:hAnsi="Arial" w:cs="Arial"/>
        </w:rPr>
        <w:t>A referral into the service</w:t>
      </w:r>
    </w:p>
    <w:p w:rsidR="00914B80" w:rsidRDefault="00914B80" w:rsidP="00914B80">
      <w:pPr>
        <w:pStyle w:val="ListParagraph"/>
        <w:numPr>
          <w:ilvl w:val="0"/>
          <w:numId w:val="3"/>
        </w:numPr>
        <w:rPr>
          <w:rFonts w:ascii="Arial" w:hAnsi="Arial" w:cs="Arial"/>
        </w:rPr>
      </w:pPr>
      <w:r>
        <w:rPr>
          <w:rFonts w:ascii="Arial" w:hAnsi="Arial" w:cs="Arial"/>
        </w:rPr>
        <w:t>Outcome letters sent to client</w:t>
      </w:r>
      <w:r w:rsidR="00053DB2">
        <w:rPr>
          <w:rFonts w:ascii="Arial" w:hAnsi="Arial" w:cs="Arial"/>
        </w:rPr>
        <w:t>, other third party</w:t>
      </w:r>
      <w:r>
        <w:rPr>
          <w:rFonts w:ascii="Arial" w:hAnsi="Arial" w:cs="Arial"/>
        </w:rPr>
        <w:t xml:space="preserve"> or their GP</w:t>
      </w:r>
    </w:p>
    <w:p w:rsidR="00914B80" w:rsidRDefault="00914B80" w:rsidP="00914B80">
      <w:pPr>
        <w:pStyle w:val="ListParagraph"/>
        <w:numPr>
          <w:ilvl w:val="0"/>
          <w:numId w:val="3"/>
        </w:numPr>
        <w:rPr>
          <w:rFonts w:ascii="Arial" w:hAnsi="Arial" w:cs="Arial"/>
        </w:rPr>
      </w:pPr>
      <w:r>
        <w:rPr>
          <w:rFonts w:ascii="Arial" w:hAnsi="Arial" w:cs="Arial"/>
        </w:rPr>
        <w:t>Onward referral to another service</w:t>
      </w:r>
    </w:p>
    <w:p w:rsidR="00914B80" w:rsidRDefault="00914B80" w:rsidP="00914B80">
      <w:pPr>
        <w:pStyle w:val="ListParagraph"/>
        <w:numPr>
          <w:ilvl w:val="0"/>
          <w:numId w:val="3"/>
        </w:numPr>
        <w:rPr>
          <w:rFonts w:ascii="Arial" w:hAnsi="Arial" w:cs="Arial"/>
        </w:rPr>
      </w:pPr>
      <w:r>
        <w:rPr>
          <w:rFonts w:ascii="Arial" w:hAnsi="Arial" w:cs="Arial"/>
        </w:rPr>
        <w:t>Staff salaries</w:t>
      </w:r>
    </w:p>
    <w:p w:rsidR="00914B80" w:rsidRDefault="00914B80" w:rsidP="00914B80">
      <w:pPr>
        <w:pStyle w:val="ListParagraph"/>
        <w:numPr>
          <w:ilvl w:val="0"/>
          <w:numId w:val="3"/>
        </w:numPr>
        <w:rPr>
          <w:rFonts w:ascii="Arial" w:hAnsi="Arial" w:cs="Arial"/>
        </w:rPr>
      </w:pPr>
      <w:r>
        <w:rPr>
          <w:rFonts w:ascii="Arial" w:hAnsi="Arial" w:cs="Arial"/>
        </w:rPr>
        <w:t>Recruitment information</w:t>
      </w:r>
    </w:p>
    <w:p w:rsidR="00914B80" w:rsidRDefault="00914B80" w:rsidP="00914B80">
      <w:pPr>
        <w:pStyle w:val="ListParagraph"/>
        <w:numPr>
          <w:ilvl w:val="0"/>
          <w:numId w:val="3"/>
        </w:numPr>
        <w:rPr>
          <w:rFonts w:ascii="Arial" w:hAnsi="Arial" w:cs="Arial"/>
        </w:rPr>
      </w:pPr>
      <w:r>
        <w:rPr>
          <w:rFonts w:ascii="Arial" w:hAnsi="Arial" w:cs="Arial"/>
        </w:rPr>
        <w:t>Any web-based submission</w:t>
      </w:r>
    </w:p>
    <w:p w:rsidR="00914B80" w:rsidRDefault="00914B80" w:rsidP="00914B80">
      <w:pPr>
        <w:pStyle w:val="ListParagraph"/>
        <w:numPr>
          <w:ilvl w:val="0"/>
          <w:numId w:val="3"/>
        </w:numPr>
        <w:rPr>
          <w:rFonts w:ascii="Arial" w:hAnsi="Arial" w:cs="Arial"/>
        </w:rPr>
      </w:pPr>
      <w:r>
        <w:rPr>
          <w:rFonts w:ascii="Arial" w:hAnsi="Arial" w:cs="Arial"/>
        </w:rPr>
        <w:t>Automatic transfers from one information system to another organisation</w:t>
      </w:r>
    </w:p>
    <w:p w:rsidR="0040156B" w:rsidRDefault="00914B80" w:rsidP="0040156B">
      <w:pPr>
        <w:pStyle w:val="ListParagraph"/>
        <w:numPr>
          <w:ilvl w:val="0"/>
          <w:numId w:val="3"/>
        </w:numPr>
        <w:rPr>
          <w:rFonts w:ascii="Arial" w:hAnsi="Arial" w:cs="Arial"/>
        </w:rPr>
      </w:pPr>
      <w:r>
        <w:rPr>
          <w:rFonts w:ascii="Arial" w:hAnsi="Arial" w:cs="Arial"/>
        </w:rPr>
        <w:t>CQC correspondence and transfer of related evidence of procedures</w:t>
      </w:r>
    </w:p>
    <w:p w:rsidR="00207F06" w:rsidRPr="0040156B" w:rsidRDefault="00207F06" w:rsidP="0040156B">
      <w:pPr>
        <w:pStyle w:val="ListParagraph"/>
        <w:numPr>
          <w:ilvl w:val="0"/>
          <w:numId w:val="3"/>
        </w:numPr>
        <w:rPr>
          <w:rFonts w:ascii="Arial" w:hAnsi="Arial" w:cs="Arial"/>
        </w:rPr>
      </w:pPr>
      <w:r>
        <w:rPr>
          <w:rFonts w:ascii="Arial" w:hAnsi="Arial" w:cs="Arial"/>
        </w:rPr>
        <w:t>Use of the fax machine to send PID</w:t>
      </w:r>
    </w:p>
    <w:p w:rsidR="00207F06" w:rsidRDefault="00207F06">
      <w:pPr>
        <w:rPr>
          <w:rFonts w:ascii="Arial" w:hAnsi="Arial" w:cs="Arial"/>
          <w:b/>
          <w:color w:val="1F4E79" w:themeColor="accent1" w:themeShade="80"/>
        </w:rPr>
      </w:pPr>
      <w:r>
        <w:rPr>
          <w:rFonts w:ascii="Arial" w:hAnsi="Arial" w:cs="Arial"/>
          <w:b/>
          <w:color w:val="1F4E79" w:themeColor="accent1" w:themeShade="80"/>
        </w:rPr>
        <w:br w:type="page"/>
      </w:r>
    </w:p>
    <w:p w:rsidR="0040156B" w:rsidRPr="0040156B" w:rsidRDefault="0040156B" w:rsidP="0040156B">
      <w:pPr>
        <w:rPr>
          <w:rFonts w:ascii="Arial" w:hAnsi="Arial" w:cs="Arial"/>
          <w:b/>
          <w:color w:val="1F4E79" w:themeColor="accent1" w:themeShade="80"/>
        </w:rPr>
      </w:pPr>
      <w:r>
        <w:rPr>
          <w:rFonts w:ascii="Arial" w:hAnsi="Arial" w:cs="Arial"/>
          <w:b/>
          <w:color w:val="1F4E79" w:themeColor="accent1" w:themeShade="80"/>
        </w:rPr>
        <w:lastRenderedPageBreak/>
        <w:t>Internally held data to be mapped</w:t>
      </w:r>
    </w:p>
    <w:p w:rsidR="00B14056" w:rsidRDefault="0040156B" w:rsidP="0040156B">
      <w:pPr>
        <w:rPr>
          <w:rFonts w:ascii="Arial" w:hAnsi="Arial" w:cs="Arial"/>
        </w:rPr>
      </w:pPr>
      <w:r>
        <w:rPr>
          <w:rFonts w:ascii="Arial" w:hAnsi="Arial" w:cs="Arial"/>
        </w:rPr>
        <w:t>Mapping should include any physically held documentation.</w:t>
      </w:r>
    </w:p>
    <w:p w:rsidR="0040156B" w:rsidRDefault="0040156B" w:rsidP="0040156B">
      <w:pPr>
        <w:rPr>
          <w:rFonts w:ascii="Arial" w:hAnsi="Arial" w:cs="Arial"/>
        </w:rPr>
      </w:pPr>
      <w:r>
        <w:rPr>
          <w:rFonts w:ascii="Arial" w:hAnsi="Arial" w:cs="Arial"/>
        </w:rPr>
        <w:t>Some examples are:</w:t>
      </w:r>
    </w:p>
    <w:p w:rsidR="0040156B" w:rsidRDefault="0040156B" w:rsidP="0040156B">
      <w:pPr>
        <w:pStyle w:val="ListParagraph"/>
        <w:numPr>
          <w:ilvl w:val="0"/>
          <w:numId w:val="4"/>
        </w:numPr>
        <w:rPr>
          <w:rFonts w:ascii="Arial" w:hAnsi="Arial" w:cs="Arial"/>
        </w:rPr>
      </w:pPr>
      <w:r>
        <w:rPr>
          <w:rFonts w:ascii="Arial" w:hAnsi="Arial" w:cs="Arial"/>
        </w:rPr>
        <w:t>Data held on spreadsheets or in databases which contain PID</w:t>
      </w:r>
    </w:p>
    <w:p w:rsidR="0040156B" w:rsidRDefault="0040156B" w:rsidP="0040156B">
      <w:pPr>
        <w:pStyle w:val="ListParagraph"/>
        <w:numPr>
          <w:ilvl w:val="0"/>
          <w:numId w:val="4"/>
        </w:numPr>
        <w:rPr>
          <w:rFonts w:ascii="Arial" w:hAnsi="Arial" w:cs="Arial"/>
        </w:rPr>
      </w:pPr>
      <w:r>
        <w:rPr>
          <w:rFonts w:ascii="Arial" w:hAnsi="Arial" w:cs="Arial"/>
        </w:rPr>
        <w:t>Records of help/advice/treatment given held in filing cabinets or archive boxes</w:t>
      </w:r>
    </w:p>
    <w:p w:rsidR="0040156B" w:rsidRDefault="0040156B" w:rsidP="0040156B">
      <w:pPr>
        <w:pStyle w:val="ListParagraph"/>
        <w:numPr>
          <w:ilvl w:val="0"/>
          <w:numId w:val="4"/>
        </w:numPr>
        <w:rPr>
          <w:rFonts w:ascii="Arial" w:hAnsi="Arial" w:cs="Arial"/>
        </w:rPr>
      </w:pPr>
      <w:r>
        <w:rPr>
          <w:rFonts w:ascii="Arial" w:hAnsi="Arial" w:cs="Arial"/>
        </w:rPr>
        <w:t xml:space="preserve">PID relating to service users or staff held on shared drives, local drives, flash drives, cloud, drop-box etc. </w:t>
      </w:r>
    </w:p>
    <w:p w:rsidR="0040156B" w:rsidRDefault="0040156B" w:rsidP="0040156B">
      <w:pPr>
        <w:pStyle w:val="ListParagraph"/>
        <w:numPr>
          <w:ilvl w:val="0"/>
          <w:numId w:val="4"/>
        </w:numPr>
        <w:rPr>
          <w:rFonts w:ascii="Arial" w:hAnsi="Arial" w:cs="Arial"/>
        </w:rPr>
      </w:pPr>
      <w:r>
        <w:rPr>
          <w:rFonts w:ascii="Arial" w:hAnsi="Arial" w:cs="Arial"/>
        </w:rPr>
        <w:t>Photographs and/or films of staff, service users or third party providers held by staff or centrally in the organisation</w:t>
      </w:r>
    </w:p>
    <w:p w:rsidR="0040156B" w:rsidRDefault="0040156B" w:rsidP="0040156B">
      <w:pPr>
        <w:pStyle w:val="ListParagraph"/>
        <w:numPr>
          <w:ilvl w:val="0"/>
          <w:numId w:val="4"/>
        </w:numPr>
        <w:rPr>
          <w:rFonts w:ascii="Arial" w:hAnsi="Arial" w:cs="Arial"/>
        </w:rPr>
      </w:pPr>
      <w:r>
        <w:rPr>
          <w:rFonts w:ascii="Arial" w:hAnsi="Arial" w:cs="Arial"/>
        </w:rPr>
        <w:t>Diaries, notebooks, telephone message books, use of ‘sticky notes’ if they contain PID</w:t>
      </w:r>
    </w:p>
    <w:p w:rsidR="00BF79D1" w:rsidRDefault="00BF79D1" w:rsidP="0040156B">
      <w:pPr>
        <w:pStyle w:val="ListParagraph"/>
        <w:numPr>
          <w:ilvl w:val="0"/>
          <w:numId w:val="4"/>
        </w:numPr>
        <w:rPr>
          <w:rFonts w:ascii="Arial" w:hAnsi="Arial" w:cs="Arial"/>
        </w:rPr>
      </w:pPr>
      <w:r>
        <w:rPr>
          <w:rFonts w:ascii="Arial" w:hAnsi="Arial" w:cs="Arial"/>
        </w:rPr>
        <w:t>Visitors sign-in books</w:t>
      </w:r>
    </w:p>
    <w:p w:rsidR="00424971" w:rsidRDefault="00424971" w:rsidP="0040156B">
      <w:pPr>
        <w:pStyle w:val="ListParagraph"/>
        <w:numPr>
          <w:ilvl w:val="0"/>
          <w:numId w:val="4"/>
        </w:numPr>
        <w:rPr>
          <w:rFonts w:ascii="Arial" w:hAnsi="Arial" w:cs="Arial"/>
        </w:rPr>
      </w:pPr>
      <w:r>
        <w:rPr>
          <w:rFonts w:ascii="Arial" w:hAnsi="Arial" w:cs="Arial"/>
        </w:rPr>
        <w:t xml:space="preserve">Confidential organisational data, </w:t>
      </w:r>
      <w:proofErr w:type="spellStart"/>
      <w:r>
        <w:rPr>
          <w:rFonts w:ascii="Arial" w:hAnsi="Arial" w:cs="Arial"/>
        </w:rPr>
        <w:t>eg</w:t>
      </w:r>
      <w:proofErr w:type="spellEnd"/>
      <w:r>
        <w:rPr>
          <w:rFonts w:ascii="Arial" w:hAnsi="Arial" w:cs="Arial"/>
        </w:rPr>
        <w:t xml:space="preserve"> financial</w:t>
      </w:r>
    </w:p>
    <w:p w:rsidR="00424971" w:rsidRPr="0040156B" w:rsidRDefault="00424971" w:rsidP="0040156B">
      <w:pPr>
        <w:pStyle w:val="ListParagraph"/>
        <w:numPr>
          <w:ilvl w:val="0"/>
          <w:numId w:val="4"/>
        </w:numPr>
        <w:rPr>
          <w:rFonts w:ascii="Arial" w:hAnsi="Arial" w:cs="Arial"/>
        </w:rPr>
      </w:pPr>
      <w:r>
        <w:rPr>
          <w:rFonts w:ascii="Arial" w:hAnsi="Arial" w:cs="Arial"/>
        </w:rPr>
        <w:t xml:space="preserve">Onward client information, </w:t>
      </w:r>
      <w:proofErr w:type="spellStart"/>
      <w:r>
        <w:rPr>
          <w:rFonts w:ascii="Arial" w:hAnsi="Arial" w:cs="Arial"/>
        </w:rPr>
        <w:t>eg</w:t>
      </w:r>
      <w:proofErr w:type="spellEnd"/>
      <w:r>
        <w:rPr>
          <w:rFonts w:ascii="Arial" w:hAnsi="Arial" w:cs="Arial"/>
        </w:rPr>
        <w:t xml:space="preserve"> transfers</w:t>
      </w:r>
    </w:p>
    <w:p w:rsidR="00914B80" w:rsidRDefault="0040156B">
      <w:pPr>
        <w:rPr>
          <w:rFonts w:ascii="Arial" w:hAnsi="Arial" w:cs="Arial"/>
        </w:rPr>
      </w:pPr>
      <w:r>
        <w:rPr>
          <w:rFonts w:ascii="Arial" w:hAnsi="Arial" w:cs="Arial"/>
        </w:rPr>
        <w:t xml:space="preserve">The above examples are not exclusive.  </w:t>
      </w:r>
    </w:p>
    <w:p w:rsidR="0040156B" w:rsidRDefault="0040156B">
      <w:pPr>
        <w:rPr>
          <w:rFonts w:ascii="Arial" w:hAnsi="Arial" w:cs="Arial"/>
        </w:rPr>
      </w:pPr>
      <w:r>
        <w:rPr>
          <w:rFonts w:ascii="Arial" w:hAnsi="Arial" w:cs="Arial"/>
        </w:rPr>
        <w:t>Any method of storage or transfer of data which would be reported as an incident if lost should be included in Data Flow Mapping.</w:t>
      </w:r>
    </w:p>
    <w:p w:rsidR="00BF79D1" w:rsidRDefault="00BF79D1">
      <w:pPr>
        <w:rPr>
          <w:rFonts w:ascii="Arial" w:hAnsi="Arial" w:cs="Arial"/>
        </w:rPr>
      </w:pPr>
      <w:r>
        <w:rPr>
          <w:rFonts w:ascii="Arial" w:hAnsi="Arial" w:cs="Arial"/>
        </w:rPr>
        <w:t>Telephone calls are not included as they are not a tangible method of transferring data.  Recordings of any telephone calls should be included.</w:t>
      </w:r>
    </w:p>
    <w:p w:rsidR="002E3C5E" w:rsidRPr="00B14056" w:rsidRDefault="002E3C5E" w:rsidP="002E3C5E">
      <w:pPr>
        <w:rPr>
          <w:rFonts w:ascii="Arial" w:hAnsi="Arial" w:cs="Arial"/>
          <w:b/>
          <w:color w:val="1F4E79" w:themeColor="accent1" w:themeShade="80"/>
        </w:rPr>
      </w:pPr>
      <w:r>
        <w:rPr>
          <w:rFonts w:ascii="Arial" w:hAnsi="Arial" w:cs="Arial"/>
          <w:b/>
          <w:color w:val="1F4E79" w:themeColor="accent1" w:themeShade="80"/>
        </w:rPr>
        <w:t>Data Flow Mapping Spreadsheet</w:t>
      </w:r>
    </w:p>
    <w:p w:rsidR="002E3C5E" w:rsidRDefault="002E3C5E" w:rsidP="002E3C5E">
      <w:pPr>
        <w:rPr>
          <w:rFonts w:ascii="Arial" w:hAnsi="Arial" w:cs="Arial"/>
        </w:rPr>
      </w:pPr>
      <w:r>
        <w:rPr>
          <w:rFonts w:ascii="Arial" w:hAnsi="Arial" w:cs="Arial"/>
        </w:rPr>
        <w:t xml:space="preserve">Open the </w:t>
      </w:r>
      <w:r w:rsidR="00347579">
        <w:rPr>
          <w:rFonts w:ascii="Arial" w:hAnsi="Arial" w:cs="Arial"/>
        </w:rPr>
        <w:t>Data Flow Mapping Tool.</w:t>
      </w:r>
    </w:p>
    <w:p w:rsidR="00B0551A" w:rsidRPr="00B0551A" w:rsidRDefault="00B0551A" w:rsidP="002E3C5E">
      <w:pPr>
        <w:rPr>
          <w:rFonts w:ascii="Arial" w:hAnsi="Arial" w:cs="Arial"/>
          <w:b/>
          <w:color w:val="1F4E79" w:themeColor="accent1" w:themeShade="80"/>
        </w:rPr>
      </w:pPr>
      <w:r w:rsidRPr="00B0551A">
        <w:rPr>
          <w:rFonts w:ascii="Arial" w:hAnsi="Arial" w:cs="Arial"/>
          <w:b/>
          <w:color w:val="1F4E79" w:themeColor="accent1" w:themeShade="80"/>
        </w:rPr>
        <w:t>Complete:</w:t>
      </w:r>
    </w:p>
    <w:p w:rsidR="002C17D5" w:rsidRDefault="002C17D5" w:rsidP="002E3C5E">
      <w:pPr>
        <w:rPr>
          <w:rFonts w:ascii="Arial" w:hAnsi="Arial" w:cs="Arial"/>
        </w:rPr>
      </w:pPr>
      <w:r>
        <w:rPr>
          <w:rFonts w:ascii="Arial" w:hAnsi="Arial" w:cs="Arial"/>
        </w:rPr>
        <w:t>Organisation Information</w:t>
      </w:r>
      <w:r w:rsidR="00B0551A">
        <w:rPr>
          <w:rFonts w:ascii="Arial" w:hAnsi="Arial" w:cs="Arial"/>
        </w:rPr>
        <w:t xml:space="preserve"> – complete with name of organisation</w:t>
      </w:r>
    </w:p>
    <w:p w:rsidR="00B0551A" w:rsidRDefault="00B0551A" w:rsidP="002E3C5E">
      <w:pPr>
        <w:rPr>
          <w:rFonts w:ascii="Arial" w:hAnsi="Arial" w:cs="Arial"/>
        </w:rPr>
      </w:pPr>
      <w:r>
        <w:rPr>
          <w:rFonts w:ascii="Arial" w:hAnsi="Arial" w:cs="Arial"/>
        </w:rPr>
        <w:t>Examples of Data – have a look and think about your own flow and types of data</w:t>
      </w:r>
    </w:p>
    <w:p w:rsidR="00B0551A" w:rsidRDefault="00B0551A" w:rsidP="002E3C5E">
      <w:pPr>
        <w:rPr>
          <w:rFonts w:ascii="Arial" w:hAnsi="Arial" w:cs="Arial"/>
        </w:rPr>
      </w:pPr>
      <w:r>
        <w:rPr>
          <w:rFonts w:ascii="Arial" w:hAnsi="Arial" w:cs="Arial"/>
        </w:rPr>
        <w:t>Supporting Tab – ignore this, it has information to support drop down boxes in main document</w:t>
      </w:r>
    </w:p>
    <w:p w:rsidR="00B0551A" w:rsidRDefault="00B0551A" w:rsidP="002E3C5E">
      <w:pPr>
        <w:rPr>
          <w:rFonts w:ascii="Arial" w:hAnsi="Arial" w:cs="Arial"/>
        </w:rPr>
      </w:pPr>
      <w:r>
        <w:rPr>
          <w:rFonts w:ascii="Arial" w:hAnsi="Arial" w:cs="Arial"/>
        </w:rPr>
        <w:t>Complete each row with a different type of data flow identified in your organisation</w:t>
      </w:r>
    </w:p>
    <w:p w:rsidR="00B0551A" w:rsidRDefault="00B0551A" w:rsidP="002E3C5E">
      <w:pPr>
        <w:rPr>
          <w:rFonts w:ascii="Arial" w:hAnsi="Arial" w:cs="Arial"/>
        </w:rPr>
      </w:pPr>
      <w:r>
        <w:rPr>
          <w:rFonts w:ascii="Arial" w:hAnsi="Arial" w:cs="Arial"/>
        </w:rPr>
        <w:t>Send the completed spreadsheet to your Information Governance Officer/CEO</w:t>
      </w:r>
    </w:p>
    <w:p w:rsidR="00B0551A" w:rsidRPr="00B0551A" w:rsidRDefault="00B0551A" w:rsidP="002E3C5E">
      <w:pPr>
        <w:rPr>
          <w:rFonts w:ascii="Arial" w:hAnsi="Arial" w:cs="Arial"/>
          <w:b/>
          <w:color w:val="1F4E79" w:themeColor="accent1" w:themeShade="80"/>
        </w:rPr>
      </w:pPr>
      <w:r w:rsidRPr="00B0551A">
        <w:rPr>
          <w:rFonts w:ascii="Arial" w:hAnsi="Arial" w:cs="Arial"/>
          <w:b/>
          <w:color w:val="1F4E79" w:themeColor="accent1" w:themeShade="80"/>
        </w:rPr>
        <w:t>Completed Data</w:t>
      </w:r>
    </w:p>
    <w:p w:rsidR="00B0551A" w:rsidRDefault="00B0551A" w:rsidP="002E3C5E">
      <w:pPr>
        <w:rPr>
          <w:rFonts w:ascii="Arial" w:hAnsi="Arial" w:cs="Arial"/>
        </w:rPr>
      </w:pPr>
      <w:r>
        <w:rPr>
          <w:rFonts w:ascii="Arial" w:hAnsi="Arial" w:cs="Arial"/>
        </w:rPr>
        <w:t>Your IG Officer/CEO will have a look at the completed data.  It may be useful to meet with a small group to discuss ways some information could be transferred if the risk of a data breach appears high.  It may be that a new process/procedure for transferring data is formulated and circulated to the team.  This will help protect the organisation from litigation, reputational damage and any other resulting action from the potential loss of confidential data.</w:t>
      </w:r>
    </w:p>
    <w:p w:rsidR="00B0551A" w:rsidRPr="00207F06" w:rsidRDefault="00B0551A" w:rsidP="002E3C5E">
      <w:pPr>
        <w:rPr>
          <w:rFonts w:ascii="Arial" w:hAnsi="Arial" w:cs="Arial"/>
          <w:b/>
          <w:color w:val="1F4E79" w:themeColor="accent1" w:themeShade="80"/>
        </w:rPr>
      </w:pPr>
      <w:r w:rsidRPr="00207F06">
        <w:rPr>
          <w:rFonts w:ascii="Arial" w:hAnsi="Arial" w:cs="Arial"/>
          <w:b/>
          <w:color w:val="1F4E79" w:themeColor="accent1" w:themeShade="80"/>
        </w:rPr>
        <w:t>Ongoing Actions</w:t>
      </w:r>
    </w:p>
    <w:p w:rsidR="00B14056" w:rsidRDefault="00B0551A" w:rsidP="00C44078">
      <w:pPr>
        <w:rPr>
          <w:rFonts w:ascii="Arial" w:hAnsi="Arial" w:cs="Arial"/>
        </w:rPr>
      </w:pPr>
      <w:r>
        <w:rPr>
          <w:rFonts w:ascii="Arial" w:hAnsi="Arial" w:cs="Arial"/>
        </w:rPr>
        <w:t xml:space="preserve">It is important to update the Data Flow Mapping spreadsheet at least twice a year.  It will also be updated should the organisation introduce a new method of transferring data containing PID. </w:t>
      </w:r>
    </w:p>
    <w:p w:rsidR="00B14056" w:rsidRPr="00B14056" w:rsidRDefault="00B14056">
      <w:pPr>
        <w:rPr>
          <w:rFonts w:ascii="Arial" w:hAnsi="Arial" w:cs="Arial"/>
        </w:rPr>
      </w:pPr>
    </w:p>
    <w:sectPr w:rsidR="00B14056" w:rsidRPr="00B1405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68" w:rsidRDefault="00B50968" w:rsidP="00B50968">
      <w:pPr>
        <w:spacing w:after="0" w:line="240" w:lineRule="auto"/>
      </w:pPr>
      <w:r>
        <w:separator/>
      </w:r>
    </w:p>
  </w:endnote>
  <w:endnote w:type="continuationSeparator" w:id="0">
    <w:p w:rsidR="00B50968" w:rsidRDefault="00B50968" w:rsidP="00B5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68" w:rsidRDefault="00227AC9" w:rsidP="00B50968">
    <w:pPr>
      <w:pStyle w:val="Footer"/>
      <w:tabs>
        <w:tab w:val="clear" w:pos="4513"/>
        <w:tab w:val="left" w:pos="7088"/>
      </w:tabs>
    </w:pPr>
    <w:r w:rsidRPr="00227AC9">
      <w:rPr>
        <w:rFonts w:ascii="Arial" w:hAnsi="Arial" w:cs="Arial"/>
        <w:color w:val="A6A6A6" w:themeColor="background1" w:themeShade="A6"/>
        <w:sz w:val="16"/>
        <w:szCs w:val="16"/>
      </w:rPr>
      <w:t>WYSP Healthcare Consultancy Ltd</w:t>
    </w:r>
    <w:r w:rsidR="00B50968">
      <w:tab/>
      <w:t xml:space="preserve">Page </w:t>
    </w:r>
    <w:r w:rsidR="00B50968">
      <w:rPr>
        <w:b/>
        <w:bCs/>
      </w:rPr>
      <w:fldChar w:fldCharType="begin"/>
    </w:r>
    <w:r w:rsidR="00B50968">
      <w:rPr>
        <w:b/>
        <w:bCs/>
      </w:rPr>
      <w:instrText xml:space="preserve"> PAGE  \* Arabic  \* MERGEFORMAT </w:instrText>
    </w:r>
    <w:r w:rsidR="00B50968">
      <w:rPr>
        <w:b/>
        <w:bCs/>
      </w:rPr>
      <w:fldChar w:fldCharType="separate"/>
    </w:r>
    <w:r w:rsidR="00A24541">
      <w:rPr>
        <w:b/>
        <w:bCs/>
        <w:noProof/>
      </w:rPr>
      <w:t>1</w:t>
    </w:r>
    <w:r w:rsidR="00B50968">
      <w:rPr>
        <w:b/>
        <w:bCs/>
      </w:rPr>
      <w:fldChar w:fldCharType="end"/>
    </w:r>
    <w:r w:rsidR="00B50968">
      <w:t xml:space="preserve"> of </w:t>
    </w:r>
    <w:r w:rsidR="00B50968">
      <w:rPr>
        <w:b/>
        <w:bCs/>
      </w:rPr>
      <w:fldChar w:fldCharType="begin"/>
    </w:r>
    <w:r w:rsidR="00B50968">
      <w:rPr>
        <w:b/>
        <w:bCs/>
      </w:rPr>
      <w:instrText xml:space="preserve"> NUMPAGES  \* Arabic  \* MERGEFORMAT </w:instrText>
    </w:r>
    <w:r w:rsidR="00B50968">
      <w:rPr>
        <w:b/>
        <w:bCs/>
      </w:rPr>
      <w:fldChar w:fldCharType="separate"/>
    </w:r>
    <w:r w:rsidR="00A24541">
      <w:rPr>
        <w:b/>
        <w:bCs/>
        <w:noProof/>
      </w:rPr>
      <w:t>2</w:t>
    </w:r>
    <w:r w:rsidR="00B50968">
      <w:rPr>
        <w:b/>
        <w:bCs/>
      </w:rPr>
      <w:fldChar w:fldCharType="end"/>
    </w:r>
    <w:r w:rsidR="00B50968">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68" w:rsidRDefault="00B50968" w:rsidP="00B50968">
      <w:pPr>
        <w:spacing w:after="0" w:line="240" w:lineRule="auto"/>
      </w:pPr>
      <w:r>
        <w:separator/>
      </w:r>
    </w:p>
  </w:footnote>
  <w:footnote w:type="continuationSeparator" w:id="0">
    <w:p w:rsidR="00B50968" w:rsidRDefault="00B50968" w:rsidP="00B5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68" w:rsidRDefault="00B50968">
    <w:pPr>
      <w:pStyle w:val="Header"/>
    </w:pPr>
    <w:r>
      <w:t>Standard Operating Procedure</w:t>
    </w:r>
    <w:r>
      <w:tab/>
    </w:r>
    <w:r>
      <w:tab/>
      <w:t>Data Flow Mapping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3DD"/>
    <w:multiLevelType w:val="hybridMultilevel"/>
    <w:tmpl w:val="878A1DF6"/>
    <w:lvl w:ilvl="0" w:tplc="1876D81E">
      <w:start w:val="1"/>
      <w:numFmt w:val="bullet"/>
      <w:lvlText w:val=""/>
      <w:lvlJc w:val="left"/>
      <w:pPr>
        <w:tabs>
          <w:tab w:val="num" w:pos="720"/>
        </w:tabs>
        <w:ind w:left="720" w:hanging="360"/>
      </w:pPr>
      <w:rPr>
        <w:rFonts w:ascii="Webdings" w:hAnsi="Webdings" w:hint="default"/>
      </w:rPr>
    </w:lvl>
    <w:lvl w:ilvl="1" w:tplc="FBAA569E">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Webdings" w:hAnsi="Webdings" w:hint="default"/>
      </w:rPr>
    </w:lvl>
    <w:lvl w:ilvl="4" w:tplc="04090003" w:tentative="1">
      <w:start w:val="1"/>
      <w:numFmt w:val="bullet"/>
      <w:lvlText w:val=""/>
      <w:lvlJc w:val="left"/>
      <w:pPr>
        <w:tabs>
          <w:tab w:val="num" w:pos="3600"/>
        </w:tabs>
        <w:ind w:left="3600" w:hanging="360"/>
      </w:pPr>
      <w:rPr>
        <w:rFonts w:ascii="Webdings" w:hAnsi="Webdings" w:hint="default"/>
      </w:rPr>
    </w:lvl>
    <w:lvl w:ilvl="5" w:tplc="04090005" w:tentative="1">
      <w:start w:val="1"/>
      <w:numFmt w:val="bullet"/>
      <w:lvlText w:val=""/>
      <w:lvlJc w:val="left"/>
      <w:pPr>
        <w:tabs>
          <w:tab w:val="num" w:pos="4320"/>
        </w:tabs>
        <w:ind w:left="4320" w:hanging="360"/>
      </w:pPr>
      <w:rPr>
        <w:rFonts w:ascii="Webdings" w:hAnsi="Webdings" w:hint="default"/>
      </w:rPr>
    </w:lvl>
    <w:lvl w:ilvl="6" w:tplc="04090001" w:tentative="1">
      <w:start w:val="1"/>
      <w:numFmt w:val="bullet"/>
      <w:lvlText w:val=""/>
      <w:lvlJc w:val="left"/>
      <w:pPr>
        <w:tabs>
          <w:tab w:val="num" w:pos="5040"/>
        </w:tabs>
        <w:ind w:left="5040" w:hanging="360"/>
      </w:pPr>
      <w:rPr>
        <w:rFonts w:ascii="Webdings" w:hAnsi="Webdings" w:hint="default"/>
      </w:rPr>
    </w:lvl>
    <w:lvl w:ilvl="7" w:tplc="04090003" w:tentative="1">
      <w:start w:val="1"/>
      <w:numFmt w:val="bullet"/>
      <w:lvlText w:val=""/>
      <w:lvlJc w:val="left"/>
      <w:pPr>
        <w:tabs>
          <w:tab w:val="num" w:pos="5760"/>
        </w:tabs>
        <w:ind w:left="5760" w:hanging="360"/>
      </w:pPr>
      <w:rPr>
        <w:rFonts w:ascii="Webdings" w:hAnsi="Webdings" w:hint="default"/>
      </w:rPr>
    </w:lvl>
    <w:lvl w:ilvl="8" w:tplc="04090005" w:tentative="1">
      <w:start w:val="1"/>
      <w:numFmt w:val="bullet"/>
      <w:lvlText w:val=""/>
      <w:lvlJc w:val="left"/>
      <w:pPr>
        <w:tabs>
          <w:tab w:val="num" w:pos="6480"/>
        </w:tabs>
        <w:ind w:left="6480" w:hanging="360"/>
      </w:pPr>
      <w:rPr>
        <w:rFonts w:ascii="Webdings" w:hAnsi="Webdings" w:hint="default"/>
      </w:rPr>
    </w:lvl>
  </w:abstractNum>
  <w:abstractNum w:abstractNumId="1" w15:restartNumberingAfterBreak="0">
    <w:nsid w:val="06D839A4"/>
    <w:multiLevelType w:val="hybridMultilevel"/>
    <w:tmpl w:val="ED6AAD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F0BE8"/>
    <w:multiLevelType w:val="hybridMultilevel"/>
    <w:tmpl w:val="EFECCF1C"/>
    <w:lvl w:ilvl="0" w:tplc="E22E8DB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D21811"/>
    <w:multiLevelType w:val="hybridMultilevel"/>
    <w:tmpl w:val="D5E8AD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04F58"/>
    <w:multiLevelType w:val="hybridMultilevel"/>
    <w:tmpl w:val="67FA6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762F25"/>
    <w:multiLevelType w:val="hybridMultilevel"/>
    <w:tmpl w:val="B858A2EC"/>
    <w:lvl w:ilvl="0" w:tplc="1876D81E">
      <w:start w:val="1"/>
      <w:numFmt w:val="bullet"/>
      <w:lvlText w:val=""/>
      <w:lvlJc w:val="left"/>
      <w:pPr>
        <w:tabs>
          <w:tab w:val="num" w:pos="720"/>
        </w:tabs>
        <w:ind w:left="720" w:hanging="360"/>
      </w:pPr>
      <w:rPr>
        <w:rFonts w:ascii="Webdings" w:hAnsi="Webdings" w:hint="default"/>
      </w:rPr>
    </w:lvl>
    <w:lvl w:ilvl="1" w:tplc="B86CAB86">
      <w:start w:val="1"/>
      <w:numFmt w:val="bullet"/>
      <w:pStyle w:val="Tick"/>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Webdings" w:hAnsi="Webdings" w:hint="default"/>
      </w:rPr>
    </w:lvl>
    <w:lvl w:ilvl="4" w:tplc="04090003" w:tentative="1">
      <w:start w:val="1"/>
      <w:numFmt w:val="bullet"/>
      <w:lvlText w:val=""/>
      <w:lvlJc w:val="left"/>
      <w:pPr>
        <w:tabs>
          <w:tab w:val="num" w:pos="3600"/>
        </w:tabs>
        <w:ind w:left="3600" w:hanging="360"/>
      </w:pPr>
      <w:rPr>
        <w:rFonts w:ascii="Webdings" w:hAnsi="Webdings" w:hint="default"/>
      </w:rPr>
    </w:lvl>
    <w:lvl w:ilvl="5" w:tplc="04090005" w:tentative="1">
      <w:start w:val="1"/>
      <w:numFmt w:val="bullet"/>
      <w:lvlText w:val=""/>
      <w:lvlJc w:val="left"/>
      <w:pPr>
        <w:tabs>
          <w:tab w:val="num" w:pos="4320"/>
        </w:tabs>
        <w:ind w:left="4320" w:hanging="360"/>
      </w:pPr>
      <w:rPr>
        <w:rFonts w:ascii="Webdings" w:hAnsi="Webdings" w:hint="default"/>
      </w:rPr>
    </w:lvl>
    <w:lvl w:ilvl="6" w:tplc="04090001" w:tentative="1">
      <w:start w:val="1"/>
      <w:numFmt w:val="bullet"/>
      <w:lvlText w:val=""/>
      <w:lvlJc w:val="left"/>
      <w:pPr>
        <w:tabs>
          <w:tab w:val="num" w:pos="5040"/>
        </w:tabs>
        <w:ind w:left="5040" w:hanging="360"/>
      </w:pPr>
      <w:rPr>
        <w:rFonts w:ascii="Webdings" w:hAnsi="Webdings" w:hint="default"/>
      </w:rPr>
    </w:lvl>
    <w:lvl w:ilvl="7" w:tplc="04090003" w:tentative="1">
      <w:start w:val="1"/>
      <w:numFmt w:val="bullet"/>
      <w:lvlText w:val=""/>
      <w:lvlJc w:val="left"/>
      <w:pPr>
        <w:tabs>
          <w:tab w:val="num" w:pos="5760"/>
        </w:tabs>
        <w:ind w:left="5760" w:hanging="360"/>
      </w:pPr>
      <w:rPr>
        <w:rFonts w:ascii="Webdings" w:hAnsi="Webdings" w:hint="default"/>
      </w:rPr>
    </w:lvl>
    <w:lvl w:ilvl="8" w:tplc="04090005" w:tentative="1">
      <w:start w:val="1"/>
      <w:numFmt w:val="bullet"/>
      <w:lvlText w:val=""/>
      <w:lvlJc w:val="left"/>
      <w:pPr>
        <w:tabs>
          <w:tab w:val="num" w:pos="6480"/>
        </w:tabs>
        <w:ind w:left="6480" w:hanging="360"/>
      </w:pPr>
      <w:rPr>
        <w:rFonts w:ascii="Webdings" w:hAnsi="Web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68"/>
    <w:rsid w:val="00053DB2"/>
    <w:rsid w:val="00141B50"/>
    <w:rsid w:val="00207F06"/>
    <w:rsid w:val="00222BA0"/>
    <w:rsid w:val="00227AC9"/>
    <w:rsid w:val="002C17D5"/>
    <w:rsid w:val="002E3C5E"/>
    <w:rsid w:val="00335B92"/>
    <w:rsid w:val="00347579"/>
    <w:rsid w:val="0040156B"/>
    <w:rsid w:val="00424971"/>
    <w:rsid w:val="00914B80"/>
    <w:rsid w:val="00A24541"/>
    <w:rsid w:val="00B0551A"/>
    <w:rsid w:val="00B14056"/>
    <w:rsid w:val="00B50968"/>
    <w:rsid w:val="00BF79D1"/>
    <w:rsid w:val="00C44078"/>
    <w:rsid w:val="00E4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B9F9C-DFD4-4BAC-A665-B1D13A79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968"/>
  </w:style>
  <w:style w:type="paragraph" w:styleId="Footer">
    <w:name w:val="footer"/>
    <w:basedOn w:val="Normal"/>
    <w:link w:val="FooterChar"/>
    <w:uiPriority w:val="99"/>
    <w:unhideWhenUsed/>
    <w:rsid w:val="00B5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968"/>
  </w:style>
  <w:style w:type="table" w:styleId="TableGrid">
    <w:name w:val="Table Grid"/>
    <w:basedOn w:val="TableNormal"/>
    <w:uiPriority w:val="39"/>
    <w:rsid w:val="00B50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4056"/>
    <w:pPr>
      <w:spacing w:before="60" w:after="60" w:line="240" w:lineRule="auto"/>
      <w:outlineLvl w:val="0"/>
    </w:pPr>
    <w:rPr>
      <w:rFonts w:ascii="Arial Black" w:eastAsia="Times New Roman" w:hAnsi="Arial Black" w:cs="Times New Roman"/>
      <w:b/>
      <w:sz w:val="28"/>
      <w:szCs w:val="28"/>
    </w:rPr>
  </w:style>
  <w:style w:type="character" w:customStyle="1" w:styleId="TitleChar">
    <w:name w:val="Title Char"/>
    <w:basedOn w:val="DefaultParagraphFont"/>
    <w:link w:val="Title"/>
    <w:uiPriority w:val="10"/>
    <w:rsid w:val="00B14056"/>
    <w:rPr>
      <w:rFonts w:ascii="Arial Black" w:eastAsia="Times New Roman" w:hAnsi="Arial Black" w:cs="Times New Roman"/>
      <w:b/>
      <w:sz w:val="28"/>
      <w:szCs w:val="28"/>
    </w:rPr>
  </w:style>
  <w:style w:type="paragraph" w:customStyle="1" w:styleId="Tick">
    <w:name w:val="Tick"/>
    <w:basedOn w:val="Normal"/>
    <w:link w:val="TickChar"/>
    <w:qFormat/>
    <w:rsid w:val="00B14056"/>
    <w:pPr>
      <w:numPr>
        <w:ilvl w:val="1"/>
        <w:numId w:val="1"/>
      </w:numPr>
      <w:tabs>
        <w:tab w:val="clear" w:pos="1440"/>
        <w:tab w:val="left" w:pos="357"/>
      </w:tabs>
      <w:spacing w:before="40" w:after="40" w:line="240" w:lineRule="auto"/>
      <w:ind w:left="357" w:hanging="357"/>
    </w:pPr>
    <w:rPr>
      <w:rFonts w:ascii="Arial" w:eastAsia="Times New Roman" w:hAnsi="Arial" w:cs="Arial"/>
      <w:sz w:val="20"/>
    </w:rPr>
  </w:style>
  <w:style w:type="character" w:customStyle="1" w:styleId="TickChar">
    <w:name w:val="Tick Char"/>
    <w:basedOn w:val="DefaultParagraphFont"/>
    <w:link w:val="Tick"/>
    <w:rsid w:val="00B14056"/>
    <w:rPr>
      <w:rFonts w:ascii="Arial" w:eastAsia="Times New Roman" w:hAnsi="Arial" w:cs="Arial"/>
      <w:sz w:val="20"/>
    </w:rPr>
  </w:style>
  <w:style w:type="paragraph" w:styleId="ListParagraph">
    <w:name w:val="List Paragraph"/>
    <w:basedOn w:val="Normal"/>
    <w:link w:val="ListParagraphChar"/>
    <w:uiPriority w:val="34"/>
    <w:qFormat/>
    <w:rsid w:val="00914B80"/>
    <w:pPr>
      <w:ind w:left="720"/>
      <w:contextualSpacing/>
    </w:pPr>
  </w:style>
  <w:style w:type="character" w:customStyle="1" w:styleId="ListParagraphChar">
    <w:name w:val="List Paragraph Char"/>
    <w:basedOn w:val="DefaultParagraphFont"/>
    <w:link w:val="ListParagraph"/>
    <w:uiPriority w:val="34"/>
    <w:rsid w:val="002C17D5"/>
  </w:style>
  <w:style w:type="paragraph" w:customStyle="1" w:styleId="Blueheading">
    <w:name w:val="Blue heading"/>
    <w:basedOn w:val="Normal"/>
    <w:link w:val="BlueheadingChar"/>
    <w:qFormat/>
    <w:rsid w:val="002C17D5"/>
    <w:pPr>
      <w:spacing w:after="0" w:line="240" w:lineRule="auto"/>
    </w:pPr>
    <w:rPr>
      <w:rFonts w:ascii="Arial" w:eastAsia="Times New Roman" w:hAnsi="Arial" w:cs="Arial"/>
      <w:b/>
      <w:color w:val="0070C0"/>
    </w:rPr>
  </w:style>
  <w:style w:type="character" w:customStyle="1" w:styleId="BlueheadingChar">
    <w:name w:val="Blue heading Char"/>
    <w:basedOn w:val="DefaultParagraphFont"/>
    <w:link w:val="Blueheading"/>
    <w:rsid w:val="002C17D5"/>
    <w:rPr>
      <w:rFonts w:ascii="Arial" w:eastAsia="Times New Roman" w:hAnsi="Arial" w:cs="Arial"/>
      <w:b/>
      <w:color w:val="0070C0"/>
    </w:rPr>
  </w:style>
  <w:style w:type="character" w:styleId="Hyperlink">
    <w:name w:val="Hyperlink"/>
    <w:basedOn w:val="DefaultParagraphFont"/>
    <w:uiPriority w:val="99"/>
    <w:unhideWhenUsed/>
    <w:rsid w:val="00347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Wright</dc:creator>
  <cp:keywords/>
  <dc:description/>
  <cp:lastModifiedBy>Sylvia Nissim</cp:lastModifiedBy>
  <cp:revision>2</cp:revision>
  <dcterms:created xsi:type="dcterms:W3CDTF">2018-03-06T15:49:00Z</dcterms:created>
  <dcterms:modified xsi:type="dcterms:W3CDTF">2018-03-06T15:49:00Z</dcterms:modified>
</cp:coreProperties>
</file>